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3953" w14:textId="08BE1536" w:rsidR="002747F9" w:rsidRDefault="004479EC" w:rsidP="004902FB">
      <w:pPr>
        <w:jc w:val="right"/>
        <w:rPr>
          <w:b/>
          <w:bCs/>
          <w:sz w:val="20"/>
          <w:szCs w:val="20"/>
          <w:lang w:val="es-CO"/>
        </w:rPr>
      </w:pPr>
      <w:r w:rsidRPr="00D22F1C">
        <w:rPr>
          <w:b/>
          <w:bCs/>
          <w:sz w:val="20"/>
          <w:szCs w:val="20"/>
          <w:lang w:val="es-CO"/>
        </w:rPr>
        <w:t>Resumen extendido #</w:t>
      </w:r>
      <w:r w:rsidR="002747F9">
        <w:rPr>
          <w:b/>
          <w:bCs/>
          <w:sz w:val="20"/>
          <w:szCs w:val="20"/>
          <w:lang w:val="es-CO"/>
        </w:rPr>
        <w:t>__</w:t>
      </w:r>
    </w:p>
    <w:p w14:paraId="35C313F5" w14:textId="74D1F869" w:rsidR="00F76FBE" w:rsidRDefault="002747F9" w:rsidP="00871D97">
      <w:pPr>
        <w:tabs>
          <w:tab w:val="center" w:pos="4680"/>
          <w:tab w:val="right" w:pos="9360"/>
        </w:tabs>
        <w:spacing w:after="0"/>
        <w:jc w:val="right"/>
        <w:rPr>
          <w:b/>
          <w:bCs/>
          <w:sz w:val="20"/>
          <w:szCs w:val="20"/>
          <w:lang w:val="es-CO"/>
        </w:rPr>
      </w:pPr>
      <w:r>
        <w:rPr>
          <w:b/>
          <w:bCs/>
          <w:sz w:val="20"/>
          <w:szCs w:val="20"/>
          <w:lang w:val="es-CO"/>
        </w:rPr>
        <w:tab/>
      </w:r>
      <w:r>
        <w:rPr>
          <w:b/>
          <w:bCs/>
          <w:sz w:val="20"/>
          <w:szCs w:val="20"/>
          <w:lang w:val="es-CO"/>
        </w:rPr>
        <w:tab/>
      </w:r>
      <w:sdt>
        <w:sdtPr>
          <w:rPr>
            <w:b/>
            <w:bCs/>
            <w:sz w:val="20"/>
            <w:szCs w:val="20"/>
            <w:lang w:val="es-CO"/>
          </w:rPr>
          <w:id w:val="-1141416692"/>
          <w14:checkbox>
            <w14:checked w14:val="0"/>
            <w14:checkedState w14:val="2612" w14:font="MS Gothic"/>
            <w14:uncheckedState w14:val="2610" w14:font="MS Gothic"/>
          </w14:checkbox>
        </w:sdtPr>
        <w:sdtContent>
          <w:r w:rsidR="00F76FBE">
            <w:rPr>
              <w:rFonts w:ascii="MS Gothic" w:eastAsia="MS Gothic" w:hAnsi="MS Gothic" w:hint="eastAsia"/>
              <w:b/>
              <w:bCs/>
              <w:sz w:val="20"/>
              <w:szCs w:val="20"/>
              <w:lang w:val="es-CO"/>
            </w:rPr>
            <w:t>☐</w:t>
          </w:r>
        </w:sdtContent>
      </w:sdt>
      <w:r w:rsidR="00F76FBE">
        <w:rPr>
          <w:b/>
          <w:bCs/>
          <w:sz w:val="20"/>
          <w:szCs w:val="20"/>
          <w:lang w:val="es-CO"/>
        </w:rPr>
        <w:t>Ponencia oral</w:t>
      </w:r>
    </w:p>
    <w:p w14:paraId="6698C4A7" w14:textId="4E99A2AA" w:rsidR="00F76FBE" w:rsidRPr="00D22F1C" w:rsidRDefault="00C070E6" w:rsidP="00362733">
      <w:pPr>
        <w:spacing w:after="0"/>
        <w:jc w:val="center"/>
        <w:rPr>
          <w:b/>
          <w:bCs/>
          <w:sz w:val="20"/>
          <w:szCs w:val="20"/>
          <w:lang w:val="es-CO"/>
        </w:rPr>
      </w:pPr>
      <w:r>
        <w:rPr>
          <w:b/>
          <w:bCs/>
          <w:sz w:val="20"/>
          <w:szCs w:val="20"/>
          <w:lang w:val="es-CO"/>
        </w:rPr>
        <w:t xml:space="preserve">            </w:t>
      </w:r>
      <w:r>
        <w:rPr>
          <w:b/>
          <w:bCs/>
          <w:sz w:val="20"/>
          <w:szCs w:val="20"/>
          <w:lang w:val="es-CO"/>
        </w:rPr>
        <w:tab/>
      </w:r>
      <w:r>
        <w:rPr>
          <w:b/>
          <w:bCs/>
          <w:sz w:val="20"/>
          <w:szCs w:val="20"/>
          <w:lang w:val="es-CO"/>
        </w:rPr>
        <w:tab/>
      </w:r>
      <w:r>
        <w:rPr>
          <w:b/>
          <w:bCs/>
          <w:sz w:val="20"/>
          <w:szCs w:val="20"/>
          <w:lang w:val="es-CO"/>
        </w:rPr>
        <w:tab/>
      </w:r>
      <w:r>
        <w:rPr>
          <w:b/>
          <w:bCs/>
          <w:sz w:val="20"/>
          <w:szCs w:val="20"/>
          <w:lang w:val="es-CO"/>
        </w:rPr>
        <w:tab/>
      </w:r>
      <w:r>
        <w:rPr>
          <w:b/>
          <w:bCs/>
          <w:sz w:val="20"/>
          <w:szCs w:val="20"/>
          <w:lang w:val="es-CO"/>
        </w:rPr>
        <w:tab/>
      </w:r>
      <w:r>
        <w:rPr>
          <w:b/>
          <w:bCs/>
          <w:sz w:val="20"/>
          <w:szCs w:val="20"/>
          <w:lang w:val="es-CO"/>
        </w:rPr>
        <w:tab/>
      </w:r>
      <w:r>
        <w:rPr>
          <w:b/>
          <w:bCs/>
          <w:sz w:val="20"/>
          <w:szCs w:val="20"/>
          <w:lang w:val="es-CO"/>
        </w:rPr>
        <w:tab/>
      </w:r>
      <w:r>
        <w:rPr>
          <w:b/>
          <w:bCs/>
          <w:sz w:val="20"/>
          <w:szCs w:val="20"/>
          <w:lang w:val="es-CO"/>
        </w:rPr>
        <w:tab/>
      </w:r>
      <w:r>
        <w:rPr>
          <w:b/>
          <w:bCs/>
          <w:sz w:val="20"/>
          <w:szCs w:val="20"/>
          <w:lang w:val="es-CO"/>
        </w:rPr>
        <w:tab/>
        <w:t xml:space="preserve">                     </w:t>
      </w:r>
      <w:sdt>
        <w:sdtPr>
          <w:rPr>
            <w:b/>
            <w:bCs/>
            <w:sz w:val="20"/>
            <w:szCs w:val="20"/>
            <w:lang w:val="es-CO"/>
          </w:rPr>
          <w:id w:val="-338544616"/>
          <w14:checkbox>
            <w14:checked w14:val="0"/>
            <w14:checkedState w14:val="2612" w14:font="MS Gothic"/>
            <w14:uncheckedState w14:val="2610" w14:font="MS Gothic"/>
          </w14:checkbox>
        </w:sdtPr>
        <w:sdtContent>
          <w:r>
            <w:rPr>
              <w:rFonts w:ascii="MS Gothic" w:eastAsia="MS Gothic" w:hAnsi="MS Gothic" w:hint="eastAsia"/>
              <w:b/>
              <w:bCs/>
              <w:sz w:val="20"/>
              <w:szCs w:val="20"/>
              <w:lang w:val="es-CO"/>
            </w:rPr>
            <w:t>☐</w:t>
          </w:r>
        </w:sdtContent>
      </w:sdt>
      <w:r w:rsidR="00F76FBE">
        <w:rPr>
          <w:b/>
          <w:bCs/>
          <w:sz w:val="20"/>
          <w:szCs w:val="20"/>
          <w:lang w:val="es-CO"/>
        </w:rPr>
        <w:t>Póster</w:t>
      </w:r>
    </w:p>
    <w:p w14:paraId="6B93798F" w14:textId="5D15A11D" w:rsidR="00B92DC4" w:rsidRPr="00F238A6" w:rsidRDefault="00B43410" w:rsidP="004420A4">
      <w:pPr>
        <w:pStyle w:val="Ttulo1"/>
        <w:tabs>
          <w:tab w:val="left" w:pos="337"/>
        </w:tabs>
        <w:jc w:val="center"/>
        <w:rPr>
          <w:rFonts w:asciiTheme="minorHAnsi" w:hAnsiTheme="minorHAnsi" w:cstheme="minorHAnsi"/>
          <w:b/>
          <w:bCs/>
          <w:sz w:val="28"/>
          <w:szCs w:val="28"/>
          <w:lang w:val="es-CO"/>
        </w:rPr>
      </w:pPr>
      <w:r>
        <w:rPr>
          <w:rFonts w:asciiTheme="minorHAnsi" w:hAnsiTheme="minorHAnsi" w:cstheme="minorHAnsi"/>
          <w:b/>
          <w:bCs/>
          <w:sz w:val="28"/>
          <w:szCs w:val="28"/>
          <w:lang w:val="es-CO"/>
        </w:rPr>
        <w:t>T</w:t>
      </w:r>
      <w:r w:rsidR="00CF05A1" w:rsidRPr="00F238A6">
        <w:rPr>
          <w:rFonts w:asciiTheme="minorHAnsi" w:hAnsiTheme="minorHAnsi" w:cstheme="minorHAnsi"/>
          <w:b/>
          <w:bCs/>
          <w:sz w:val="28"/>
          <w:szCs w:val="28"/>
          <w:lang w:val="es-CO"/>
        </w:rPr>
        <w:t>Í</w:t>
      </w:r>
      <w:r w:rsidR="00B92DC4" w:rsidRPr="00F238A6">
        <w:rPr>
          <w:rFonts w:asciiTheme="minorHAnsi" w:hAnsiTheme="minorHAnsi" w:cstheme="minorHAnsi"/>
          <w:b/>
          <w:bCs/>
          <w:sz w:val="28"/>
          <w:szCs w:val="28"/>
          <w:lang w:val="es-CO"/>
        </w:rPr>
        <w:t xml:space="preserve">TULO DEL </w:t>
      </w:r>
      <w:r w:rsidR="009E298C" w:rsidRPr="00F238A6">
        <w:rPr>
          <w:rFonts w:asciiTheme="minorHAnsi" w:hAnsiTheme="minorHAnsi" w:cstheme="minorHAnsi"/>
          <w:b/>
          <w:bCs/>
          <w:sz w:val="28"/>
          <w:szCs w:val="28"/>
          <w:lang w:val="es-CO"/>
        </w:rPr>
        <w:t>RESUMEN</w:t>
      </w:r>
      <w:r w:rsidR="00B92DC4" w:rsidRPr="00F238A6">
        <w:rPr>
          <w:rFonts w:asciiTheme="minorHAnsi" w:hAnsiTheme="minorHAnsi" w:cstheme="minorHAnsi"/>
          <w:b/>
          <w:bCs/>
          <w:sz w:val="28"/>
          <w:szCs w:val="28"/>
          <w:lang w:val="es-CO"/>
        </w:rPr>
        <w:t xml:space="preserve"> EXTENDIDO</w:t>
      </w:r>
    </w:p>
    <w:p w14:paraId="49D5B80B" w14:textId="1EB37638" w:rsidR="00B92DC4" w:rsidRPr="00D22F1C" w:rsidRDefault="00B92DC4" w:rsidP="00B92DC4">
      <w:pPr>
        <w:spacing w:after="0"/>
        <w:jc w:val="center"/>
        <w:rPr>
          <w:rFonts w:cstheme="minorHAnsi"/>
          <w:i/>
          <w:iCs/>
          <w:color w:val="2F5496" w:themeColor="accent1" w:themeShade="BF"/>
          <w:sz w:val="20"/>
          <w:szCs w:val="20"/>
          <w:lang w:val="es-CO"/>
        </w:rPr>
      </w:pPr>
      <w:r w:rsidRPr="00D22F1C">
        <w:rPr>
          <w:rFonts w:cstheme="minorHAnsi"/>
          <w:i/>
          <w:iCs/>
          <w:color w:val="2F5496" w:themeColor="accent1" w:themeShade="BF"/>
          <w:sz w:val="20"/>
          <w:szCs w:val="20"/>
          <w:lang w:val="es-CO"/>
        </w:rPr>
        <w:t>(</w:t>
      </w:r>
      <w:r w:rsidR="00D1101F" w:rsidRPr="00D22F1C">
        <w:rPr>
          <w:rFonts w:cstheme="minorHAnsi"/>
          <w:i/>
          <w:iCs/>
          <w:color w:val="2F5496" w:themeColor="accent1" w:themeShade="BF"/>
          <w:sz w:val="20"/>
          <w:szCs w:val="20"/>
          <w:lang w:val="es-CO"/>
        </w:rPr>
        <w:t xml:space="preserve">Título en fuente </w:t>
      </w:r>
      <w:r w:rsidR="00ED31B1" w:rsidRPr="00D22F1C">
        <w:rPr>
          <w:rFonts w:cstheme="minorHAnsi"/>
          <w:i/>
          <w:iCs/>
          <w:color w:val="2F5496" w:themeColor="accent1" w:themeShade="BF"/>
          <w:sz w:val="20"/>
          <w:szCs w:val="20"/>
          <w:lang w:val="es-CO"/>
        </w:rPr>
        <w:t>Calibri</w:t>
      </w:r>
      <w:r w:rsidRPr="00D22F1C">
        <w:rPr>
          <w:rFonts w:cstheme="minorHAnsi"/>
          <w:i/>
          <w:iCs/>
          <w:color w:val="2F5496" w:themeColor="accent1" w:themeShade="BF"/>
          <w:sz w:val="20"/>
          <w:szCs w:val="20"/>
          <w:lang w:val="es-CO"/>
        </w:rPr>
        <w:t>, tamaño</w:t>
      </w:r>
      <w:r w:rsidR="00D1101F" w:rsidRPr="00D22F1C">
        <w:rPr>
          <w:rFonts w:cstheme="minorHAnsi"/>
          <w:i/>
          <w:iCs/>
          <w:color w:val="2F5496" w:themeColor="accent1" w:themeShade="BF"/>
          <w:sz w:val="20"/>
          <w:szCs w:val="20"/>
          <w:lang w:val="es-CO"/>
        </w:rPr>
        <w:t xml:space="preserve"> </w:t>
      </w:r>
      <w:r w:rsidRPr="00D22F1C">
        <w:rPr>
          <w:rFonts w:cstheme="minorHAnsi"/>
          <w:i/>
          <w:iCs/>
          <w:color w:val="2F5496" w:themeColor="accent1" w:themeShade="BF"/>
          <w:sz w:val="20"/>
          <w:szCs w:val="20"/>
          <w:lang w:val="es-CO"/>
        </w:rPr>
        <w:t>14, negrilla, centrado)</w:t>
      </w:r>
    </w:p>
    <w:p w14:paraId="22964E1B" w14:textId="1895720C" w:rsidR="00A027BB" w:rsidRPr="00F238A6" w:rsidRDefault="00B92DC4" w:rsidP="00FE7E98">
      <w:pPr>
        <w:spacing w:before="120" w:after="120"/>
        <w:jc w:val="center"/>
        <w:rPr>
          <w:rFonts w:cstheme="minorHAnsi"/>
          <w:sz w:val="20"/>
          <w:szCs w:val="20"/>
          <w:lang w:val="es-CO"/>
        </w:rPr>
      </w:pPr>
      <w:r w:rsidRPr="00F238A6">
        <w:rPr>
          <w:rFonts w:cstheme="minorHAnsi"/>
          <w:sz w:val="20"/>
          <w:szCs w:val="20"/>
          <w:lang w:val="es-CO"/>
        </w:rPr>
        <w:t>Nombres y apellidos del aut</w:t>
      </w:r>
      <w:r w:rsidR="00465790">
        <w:rPr>
          <w:rFonts w:cstheme="minorHAnsi"/>
          <w:sz w:val="20"/>
          <w:szCs w:val="20"/>
          <w:lang w:val="es-CO"/>
        </w:rPr>
        <w:t>or de correspondencia</w:t>
      </w:r>
      <w:r w:rsidRPr="00F238A6">
        <w:rPr>
          <w:rFonts w:cstheme="minorHAnsi"/>
          <w:sz w:val="20"/>
          <w:szCs w:val="20"/>
          <w:vertAlign w:val="superscript"/>
          <w:lang w:val="es-CO"/>
        </w:rPr>
        <w:t>1</w:t>
      </w:r>
      <w:r w:rsidRPr="00F238A6">
        <w:rPr>
          <w:rFonts w:cstheme="minorHAnsi"/>
          <w:sz w:val="20"/>
          <w:szCs w:val="20"/>
          <w:lang w:val="es-CO"/>
        </w:rPr>
        <w:t>, nombres y apellidos del autor</w:t>
      </w:r>
      <w:r w:rsidRPr="00F238A6">
        <w:rPr>
          <w:rFonts w:cstheme="minorHAnsi"/>
          <w:sz w:val="20"/>
          <w:szCs w:val="20"/>
          <w:vertAlign w:val="superscript"/>
          <w:lang w:val="es-CO"/>
        </w:rPr>
        <w:t>2</w:t>
      </w:r>
      <w:r w:rsidR="00DB1BB9" w:rsidRPr="00F238A6">
        <w:rPr>
          <w:rFonts w:cstheme="minorHAnsi"/>
          <w:sz w:val="20"/>
          <w:szCs w:val="20"/>
          <w:lang w:val="es-CO"/>
        </w:rPr>
        <w:t>, nombres y apellidos del autor</w:t>
      </w:r>
      <w:r w:rsidR="00DB1BB9" w:rsidRPr="00F238A6">
        <w:rPr>
          <w:rFonts w:cstheme="minorHAnsi"/>
          <w:sz w:val="20"/>
          <w:szCs w:val="20"/>
          <w:vertAlign w:val="superscript"/>
          <w:lang w:val="es-CO"/>
        </w:rPr>
        <w:t>3</w:t>
      </w:r>
      <w:r w:rsidRPr="00F238A6">
        <w:rPr>
          <w:rFonts w:cstheme="minorHAnsi"/>
          <w:sz w:val="20"/>
          <w:szCs w:val="20"/>
          <w:lang w:val="es-CO"/>
        </w:rPr>
        <w:t xml:space="preserve"> </w:t>
      </w:r>
    </w:p>
    <w:p w14:paraId="467D95CA" w14:textId="39840596" w:rsidR="00B92DC4" w:rsidRPr="00F238A6" w:rsidRDefault="00B92DC4" w:rsidP="00B92DC4">
      <w:pPr>
        <w:spacing w:after="0"/>
        <w:jc w:val="center"/>
        <w:rPr>
          <w:rFonts w:cstheme="minorHAnsi"/>
          <w:i/>
          <w:iCs/>
          <w:sz w:val="20"/>
          <w:szCs w:val="20"/>
          <w:lang w:val="es-CO"/>
        </w:rPr>
      </w:pPr>
      <w:r w:rsidRPr="004420A4">
        <w:rPr>
          <w:rFonts w:cstheme="minorHAnsi"/>
          <w:i/>
          <w:iCs/>
          <w:sz w:val="20"/>
          <w:szCs w:val="20"/>
          <w:lang w:val="es-CO"/>
        </w:rPr>
        <w:t>(</w:t>
      </w:r>
      <w:r w:rsidR="00D80C3F" w:rsidRPr="004420A4">
        <w:rPr>
          <w:rFonts w:cstheme="minorHAnsi"/>
          <w:i/>
          <w:iCs/>
          <w:sz w:val="20"/>
          <w:szCs w:val="20"/>
          <w:lang w:val="es-CO"/>
        </w:rPr>
        <w:t xml:space="preserve">Nombres en fuente </w:t>
      </w:r>
      <w:r w:rsidR="00ED31B1" w:rsidRPr="004420A4">
        <w:rPr>
          <w:rFonts w:cstheme="minorHAnsi"/>
          <w:i/>
          <w:iCs/>
          <w:sz w:val="20"/>
          <w:szCs w:val="20"/>
          <w:lang w:val="es-CO"/>
        </w:rPr>
        <w:t>Calibri</w:t>
      </w:r>
      <w:r w:rsidR="00A027BB" w:rsidRPr="004420A4">
        <w:rPr>
          <w:rFonts w:cstheme="minorHAnsi"/>
          <w:i/>
          <w:iCs/>
          <w:sz w:val="20"/>
          <w:szCs w:val="20"/>
          <w:lang w:val="es-CO"/>
        </w:rPr>
        <w:t xml:space="preserve">, </w:t>
      </w:r>
      <w:r w:rsidRPr="004420A4">
        <w:rPr>
          <w:rFonts w:cstheme="minorHAnsi"/>
          <w:i/>
          <w:iCs/>
          <w:sz w:val="20"/>
          <w:szCs w:val="20"/>
          <w:lang w:val="es-CO"/>
        </w:rPr>
        <w:t>tamaño</w:t>
      </w:r>
      <w:r w:rsidR="00A027BB" w:rsidRPr="004420A4">
        <w:rPr>
          <w:rFonts w:cstheme="minorHAnsi"/>
          <w:i/>
          <w:iCs/>
          <w:sz w:val="20"/>
          <w:szCs w:val="20"/>
          <w:lang w:val="es-CO"/>
        </w:rPr>
        <w:t xml:space="preserve"> </w:t>
      </w:r>
      <w:r w:rsidRPr="004420A4">
        <w:rPr>
          <w:rFonts w:cstheme="minorHAnsi"/>
          <w:i/>
          <w:iCs/>
          <w:sz w:val="20"/>
          <w:szCs w:val="20"/>
          <w:lang w:val="es-CO"/>
        </w:rPr>
        <w:t>1</w:t>
      </w:r>
      <w:r w:rsidR="0011674B" w:rsidRPr="004420A4">
        <w:rPr>
          <w:rFonts w:cstheme="minorHAnsi"/>
          <w:i/>
          <w:iCs/>
          <w:sz w:val="20"/>
          <w:szCs w:val="20"/>
          <w:lang w:val="es-CO"/>
        </w:rPr>
        <w:t>0</w:t>
      </w:r>
      <w:r w:rsidR="00D80C3F" w:rsidRPr="004420A4">
        <w:rPr>
          <w:rFonts w:cstheme="minorHAnsi"/>
          <w:i/>
          <w:iCs/>
          <w:sz w:val="20"/>
          <w:szCs w:val="20"/>
          <w:lang w:val="es-CO"/>
        </w:rPr>
        <w:t>, centrado</w:t>
      </w:r>
      <w:r w:rsidRPr="004420A4">
        <w:rPr>
          <w:rFonts w:cstheme="minorHAnsi"/>
          <w:i/>
          <w:iCs/>
          <w:sz w:val="20"/>
          <w:szCs w:val="20"/>
          <w:lang w:val="es-CO"/>
        </w:rPr>
        <w:t>)</w:t>
      </w:r>
    </w:p>
    <w:p w14:paraId="64F0BF61" w14:textId="77777777" w:rsidR="00872A26" w:rsidRPr="00F238A6" w:rsidRDefault="00872A26" w:rsidP="00B92DC4">
      <w:pPr>
        <w:spacing w:after="0"/>
        <w:jc w:val="center"/>
        <w:rPr>
          <w:rFonts w:cstheme="minorHAnsi"/>
          <w:sz w:val="20"/>
          <w:szCs w:val="20"/>
          <w:lang w:val="es-CO"/>
        </w:rPr>
      </w:pPr>
    </w:p>
    <w:p w14:paraId="1EB1EB44" w14:textId="482758C4" w:rsidR="00872A26" w:rsidRPr="004420A4" w:rsidRDefault="00B92DC4" w:rsidP="00872A26">
      <w:pPr>
        <w:spacing w:after="0"/>
        <w:jc w:val="center"/>
        <w:rPr>
          <w:rFonts w:cstheme="minorHAnsi"/>
          <w:sz w:val="20"/>
          <w:szCs w:val="20"/>
          <w:lang w:val="es-CO"/>
        </w:rPr>
      </w:pPr>
      <w:r w:rsidRPr="00F238A6">
        <w:rPr>
          <w:rFonts w:cstheme="minorHAnsi"/>
          <w:i/>
          <w:iCs/>
          <w:sz w:val="20"/>
          <w:szCs w:val="20"/>
          <w:vertAlign w:val="superscript"/>
          <w:lang w:val="es-CO"/>
        </w:rPr>
        <w:t xml:space="preserve">1 </w:t>
      </w:r>
      <w:proofErr w:type="gramStart"/>
      <w:r w:rsidR="00DB1BB9" w:rsidRPr="00F238A6">
        <w:rPr>
          <w:rFonts w:cstheme="minorHAnsi"/>
          <w:sz w:val="20"/>
          <w:szCs w:val="20"/>
          <w:lang w:val="es-CO"/>
        </w:rPr>
        <w:t>Afiliación</w:t>
      </w:r>
      <w:proofErr w:type="gramEnd"/>
      <w:r w:rsidR="009F5AE2" w:rsidRPr="00F238A6">
        <w:rPr>
          <w:rFonts w:cstheme="minorHAnsi"/>
          <w:sz w:val="20"/>
          <w:szCs w:val="20"/>
          <w:lang w:val="es-CO"/>
        </w:rPr>
        <w:t xml:space="preserve"> del autor</w:t>
      </w:r>
      <w:r w:rsidR="00DB1BB9" w:rsidRPr="00F238A6">
        <w:rPr>
          <w:rFonts w:cstheme="minorHAnsi"/>
          <w:sz w:val="20"/>
          <w:szCs w:val="20"/>
          <w:lang w:val="es-CO"/>
        </w:rPr>
        <w:t xml:space="preserve"> </w:t>
      </w:r>
      <w:r w:rsidR="00465790">
        <w:rPr>
          <w:rFonts w:cstheme="minorHAnsi"/>
          <w:sz w:val="20"/>
          <w:szCs w:val="20"/>
          <w:lang w:val="es-CO"/>
        </w:rPr>
        <w:t>de correspondencia</w:t>
      </w:r>
      <w:r w:rsidR="00465790" w:rsidRPr="00F238A6">
        <w:rPr>
          <w:rFonts w:cstheme="minorHAnsi"/>
          <w:sz w:val="20"/>
          <w:szCs w:val="20"/>
          <w:lang w:val="es-CO"/>
        </w:rPr>
        <w:t xml:space="preserve"> </w:t>
      </w:r>
      <w:r w:rsidR="00DB1BB9" w:rsidRPr="00F238A6">
        <w:rPr>
          <w:rFonts w:cstheme="minorHAnsi"/>
          <w:sz w:val="20"/>
          <w:szCs w:val="20"/>
          <w:lang w:val="es-CO"/>
        </w:rPr>
        <w:t>o su</w:t>
      </w:r>
      <w:r w:rsidR="009F5AE2" w:rsidRPr="00F238A6">
        <w:rPr>
          <w:rFonts w:cstheme="minorHAnsi"/>
          <w:sz w:val="20"/>
          <w:szCs w:val="20"/>
          <w:lang w:val="es-CO"/>
        </w:rPr>
        <w:t xml:space="preserve"> organización</w:t>
      </w:r>
      <w:r w:rsidR="00872A26" w:rsidRPr="00F238A6">
        <w:rPr>
          <w:rFonts w:cstheme="minorHAnsi"/>
          <w:sz w:val="20"/>
          <w:szCs w:val="20"/>
          <w:lang w:val="es-CO"/>
        </w:rPr>
        <w:t>, e</w:t>
      </w:r>
      <w:r w:rsidRPr="00F238A6">
        <w:rPr>
          <w:rFonts w:cstheme="minorHAnsi"/>
          <w:sz w:val="20"/>
          <w:szCs w:val="20"/>
          <w:lang w:val="es-CO"/>
        </w:rPr>
        <w:t>-</w:t>
      </w:r>
      <w:r w:rsidRPr="004420A4">
        <w:rPr>
          <w:rFonts w:cstheme="minorHAnsi"/>
          <w:sz w:val="20"/>
          <w:szCs w:val="20"/>
          <w:lang w:val="es-CO"/>
        </w:rPr>
        <w:t>mail</w:t>
      </w:r>
      <w:r w:rsidR="00872A26" w:rsidRPr="004420A4">
        <w:rPr>
          <w:rFonts w:cstheme="minorHAnsi"/>
          <w:i/>
          <w:iCs/>
          <w:sz w:val="20"/>
          <w:szCs w:val="20"/>
          <w:lang w:val="es-CO"/>
        </w:rPr>
        <w:t xml:space="preserve"> (</w:t>
      </w:r>
      <w:r w:rsidR="00ED31B1" w:rsidRPr="004420A4">
        <w:rPr>
          <w:rFonts w:cstheme="minorHAnsi"/>
          <w:i/>
          <w:iCs/>
          <w:sz w:val="20"/>
          <w:szCs w:val="20"/>
          <w:lang w:val="es-CO"/>
        </w:rPr>
        <w:t>Calibri</w:t>
      </w:r>
      <w:r w:rsidR="00872A26" w:rsidRPr="004420A4">
        <w:rPr>
          <w:rFonts w:cstheme="minorHAnsi"/>
          <w:i/>
          <w:iCs/>
          <w:sz w:val="20"/>
          <w:szCs w:val="20"/>
          <w:lang w:val="es-CO"/>
        </w:rPr>
        <w:t>, tamaño de fuente 1</w:t>
      </w:r>
      <w:r w:rsidR="0011674B" w:rsidRPr="004420A4">
        <w:rPr>
          <w:rFonts w:cstheme="minorHAnsi"/>
          <w:i/>
          <w:iCs/>
          <w:sz w:val="20"/>
          <w:szCs w:val="20"/>
          <w:lang w:val="es-CO"/>
        </w:rPr>
        <w:t>0</w:t>
      </w:r>
      <w:r w:rsidR="00872A26" w:rsidRPr="004420A4">
        <w:rPr>
          <w:rFonts w:cstheme="minorHAnsi"/>
          <w:i/>
          <w:iCs/>
          <w:sz w:val="20"/>
          <w:szCs w:val="20"/>
          <w:lang w:val="es-CO"/>
        </w:rPr>
        <w:t>)</w:t>
      </w:r>
    </w:p>
    <w:p w14:paraId="53B088EC" w14:textId="22E9EC5D" w:rsidR="00872A26" w:rsidRPr="004420A4" w:rsidRDefault="00B92DC4" w:rsidP="00872A26">
      <w:pPr>
        <w:spacing w:after="0"/>
        <w:jc w:val="center"/>
        <w:rPr>
          <w:rFonts w:cstheme="minorHAnsi"/>
          <w:i/>
          <w:iCs/>
          <w:sz w:val="20"/>
          <w:szCs w:val="20"/>
          <w:lang w:val="es-CO"/>
        </w:rPr>
      </w:pPr>
      <w:r w:rsidRPr="004420A4">
        <w:rPr>
          <w:rFonts w:cstheme="minorHAnsi"/>
          <w:i/>
          <w:iCs/>
          <w:sz w:val="20"/>
          <w:szCs w:val="20"/>
          <w:vertAlign w:val="superscript"/>
          <w:lang w:val="es-CO"/>
        </w:rPr>
        <w:t>2</w:t>
      </w:r>
      <w:r w:rsidRPr="004420A4">
        <w:rPr>
          <w:rFonts w:cstheme="minorHAnsi"/>
          <w:i/>
          <w:iCs/>
          <w:sz w:val="20"/>
          <w:szCs w:val="20"/>
          <w:lang w:val="es-CO"/>
        </w:rPr>
        <w:t xml:space="preserve"> </w:t>
      </w:r>
      <w:proofErr w:type="gramStart"/>
      <w:r w:rsidR="009F5AE2" w:rsidRPr="004420A4">
        <w:rPr>
          <w:rFonts w:cstheme="minorHAnsi"/>
          <w:sz w:val="20"/>
          <w:szCs w:val="20"/>
          <w:lang w:val="es-CO"/>
        </w:rPr>
        <w:t>Afiliación</w:t>
      </w:r>
      <w:proofErr w:type="gramEnd"/>
      <w:r w:rsidR="009F5AE2" w:rsidRPr="004420A4">
        <w:rPr>
          <w:rFonts w:cstheme="minorHAnsi"/>
          <w:sz w:val="20"/>
          <w:szCs w:val="20"/>
          <w:lang w:val="es-CO"/>
        </w:rPr>
        <w:t xml:space="preserve"> del autor </w:t>
      </w:r>
      <w:r w:rsidR="00DB1BB9" w:rsidRPr="004420A4">
        <w:rPr>
          <w:rFonts w:cstheme="minorHAnsi"/>
          <w:sz w:val="20"/>
          <w:szCs w:val="20"/>
          <w:lang w:val="es-CO"/>
        </w:rPr>
        <w:t>o su</w:t>
      </w:r>
      <w:r w:rsidR="009F5AE2" w:rsidRPr="004420A4">
        <w:rPr>
          <w:rFonts w:cstheme="minorHAnsi"/>
          <w:sz w:val="20"/>
          <w:szCs w:val="20"/>
          <w:lang w:val="es-CO"/>
        </w:rPr>
        <w:t xml:space="preserve"> organización</w:t>
      </w:r>
      <w:r w:rsidR="00872A26" w:rsidRPr="004420A4">
        <w:rPr>
          <w:rFonts w:cstheme="minorHAnsi"/>
          <w:sz w:val="20"/>
          <w:szCs w:val="20"/>
          <w:lang w:val="es-CO"/>
        </w:rPr>
        <w:t>, e</w:t>
      </w:r>
      <w:r w:rsidRPr="004420A4">
        <w:rPr>
          <w:rFonts w:cstheme="minorHAnsi"/>
          <w:sz w:val="20"/>
          <w:szCs w:val="20"/>
          <w:lang w:val="es-CO"/>
        </w:rPr>
        <w:t>-mail</w:t>
      </w:r>
      <w:r w:rsidR="00872A26" w:rsidRPr="004420A4">
        <w:rPr>
          <w:rFonts w:cstheme="minorHAnsi"/>
          <w:i/>
          <w:iCs/>
          <w:sz w:val="20"/>
          <w:szCs w:val="20"/>
          <w:lang w:val="es-CO"/>
        </w:rPr>
        <w:t xml:space="preserve"> (</w:t>
      </w:r>
      <w:r w:rsidR="00ED31B1" w:rsidRPr="004420A4">
        <w:rPr>
          <w:rFonts w:cstheme="minorHAnsi"/>
          <w:i/>
          <w:iCs/>
          <w:sz w:val="20"/>
          <w:szCs w:val="20"/>
          <w:lang w:val="es-CO"/>
        </w:rPr>
        <w:t>Calibri</w:t>
      </w:r>
      <w:r w:rsidR="00872A26" w:rsidRPr="004420A4">
        <w:rPr>
          <w:rFonts w:cstheme="minorHAnsi"/>
          <w:i/>
          <w:iCs/>
          <w:sz w:val="20"/>
          <w:szCs w:val="20"/>
          <w:lang w:val="es-CO"/>
        </w:rPr>
        <w:t>, tamaño de fuente 1</w:t>
      </w:r>
      <w:r w:rsidR="0011674B" w:rsidRPr="004420A4">
        <w:rPr>
          <w:rFonts w:cstheme="minorHAnsi"/>
          <w:i/>
          <w:iCs/>
          <w:sz w:val="20"/>
          <w:szCs w:val="20"/>
          <w:lang w:val="es-CO"/>
        </w:rPr>
        <w:t>0</w:t>
      </w:r>
      <w:r w:rsidR="00872A26" w:rsidRPr="004420A4">
        <w:rPr>
          <w:rFonts w:cstheme="minorHAnsi"/>
          <w:i/>
          <w:iCs/>
          <w:sz w:val="20"/>
          <w:szCs w:val="20"/>
          <w:lang w:val="es-CO"/>
        </w:rPr>
        <w:t>)</w:t>
      </w:r>
    </w:p>
    <w:p w14:paraId="4F371F32" w14:textId="1A7D2C43" w:rsidR="00DB1BB9" w:rsidRPr="004420A4" w:rsidRDefault="00DB1BB9" w:rsidP="00DB1BB9">
      <w:pPr>
        <w:spacing w:after="0"/>
        <w:jc w:val="center"/>
        <w:rPr>
          <w:rFonts w:cstheme="minorHAnsi"/>
          <w:i/>
          <w:iCs/>
          <w:sz w:val="20"/>
          <w:szCs w:val="20"/>
          <w:lang w:val="es-CO"/>
        </w:rPr>
      </w:pPr>
      <w:r w:rsidRPr="004420A4">
        <w:rPr>
          <w:rFonts w:cstheme="minorHAnsi"/>
          <w:i/>
          <w:iCs/>
          <w:sz w:val="20"/>
          <w:szCs w:val="20"/>
          <w:vertAlign w:val="superscript"/>
          <w:lang w:val="es-CO"/>
        </w:rPr>
        <w:t>2</w:t>
      </w:r>
      <w:r w:rsidRPr="004420A4">
        <w:rPr>
          <w:rFonts w:cstheme="minorHAnsi"/>
          <w:i/>
          <w:iCs/>
          <w:sz w:val="20"/>
          <w:szCs w:val="20"/>
          <w:lang w:val="es-CO"/>
        </w:rPr>
        <w:t xml:space="preserve"> </w:t>
      </w:r>
      <w:proofErr w:type="gramStart"/>
      <w:r w:rsidRPr="004420A4">
        <w:rPr>
          <w:rFonts w:cstheme="minorHAnsi"/>
          <w:sz w:val="20"/>
          <w:szCs w:val="20"/>
          <w:lang w:val="es-CO"/>
        </w:rPr>
        <w:t>Afiliación</w:t>
      </w:r>
      <w:proofErr w:type="gramEnd"/>
      <w:r w:rsidRPr="004420A4">
        <w:rPr>
          <w:rFonts w:cstheme="minorHAnsi"/>
          <w:sz w:val="20"/>
          <w:szCs w:val="20"/>
          <w:lang w:val="es-CO"/>
        </w:rPr>
        <w:t xml:space="preserve"> del autor o su organización, e-mail</w:t>
      </w:r>
      <w:r w:rsidRPr="004420A4">
        <w:rPr>
          <w:rFonts w:cstheme="minorHAnsi"/>
          <w:i/>
          <w:iCs/>
          <w:sz w:val="20"/>
          <w:szCs w:val="20"/>
          <w:lang w:val="es-CO"/>
        </w:rPr>
        <w:t xml:space="preserve"> (</w:t>
      </w:r>
      <w:r w:rsidR="00ED31B1" w:rsidRPr="004420A4">
        <w:rPr>
          <w:rFonts w:cstheme="minorHAnsi"/>
          <w:i/>
          <w:iCs/>
          <w:sz w:val="20"/>
          <w:szCs w:val="20"/>
          <w:lang w:val="es-CO"/>
        </w:rPr>
        <w:t>Calibri</w:t>
      </w:r>
      <w:r w:rsidRPr="004420A4">
        <w:rPr>
          <w:rFonts w:cstheme="minorHAnsi"/>
          <w:i/>
          <w:iCs/>
          <w:sz w:val="20"/>
          <w:szCs w:val="20"/>
          <w:lang w:val="es-CO"/>
        </w:rPr>
        <w:t>, tamaño de fuente 10)</w:t>
      </w:r>
    </w:p>
    <w:p w14:paraId="6F827B1E" w14:textId="18A8E551" w:rsidR="00A56B2F" w:rsidRPr="00D22F1C" w:rsidRDefault="00A56B2F" w:rsidP="00FE7E98">
      <w:pPr>
        <w:spacing w:before="120" w:after="120"/>
        <w:jc w:val="center"/>
        <w:rPr>
          <w:rFonts w:cstheme="minorHAnsi"/>
          <w:lang w:val="es-CO"/>
        </w:rPr>
      </w:pPr>
      <w:r w:rsidRPr="00D22F1C">
        <w:rPr>
          <w:rFonts w:cstheme="minorHAnsi"/>
          <w:lang w:val="es-CO"/>
        </w:rPr>
        <w:t xml:space="preserve">El autor </w:t>
      </w:r>
      <w:r w:rsidR="00465790" w:rsidRPr="00D22F1C">
        <w:rPr>
          <w:rFonts w:cstheme="minorHAnsi"/>
          <w:lang w:val="es-CO"/>
        </w:rPr>
        <w:t xml:space="preserve">de correspondencia </w:t>
      </w:r>
      <w:r w:rsidRPr="00D22F1C">
        <w:rPr>
          <w:rFonts w:cstheme="minorHAnsi"/>
          <w:lang w:val="es-CO"/>
        </w:rPr>
        <w:t xml:space="preserve">será el encargado de </w:t>
      </w:r>
      <w:r w:rsidR="00D71DCB" w:rsidRPr="00D22F1C">
        <w:rPr>
          <w:rFonts w:cstheme="minorHAnsi"/>
          <w:lang w:val="es-CO"/>
        </w:rPr>
        <w:t xml:space="preserve">verificar la aprobación de todos los autores para la aplicación al evento y </w:t>
      </w:r>
      <w:r w:rsidRPr="00D22F1C">
        <w:rPr>
          <w:rFonts w:cstheme="minorHAnsi"/>
          <w:lang w:val="es-CO"/>
        </w:rPr>
        <w:t>enviar el resumen extendido</w:t>
      </w:r>
      <w:r w:rsidR="00D71DCB" w:rsidRPr="00D22F1C">
        <w:rPr>
          <w:rFonts w:cstheme="minorHAnsi"/>
          <w:lang w:val="es-CO"/>
        </w:rPr>
        <w:t xml:space="preserve">. Este autor </w:t>
      </w:r>
      <w:r w:rsidR="00465790" w:rsidRPr="00D22F1C">
        <w:rPr>
          <w:rFonts w:cstheme="minorHAnsi"/>
          <w:lang w:val="es-CO"/>
        </w:rPr>
        <w:t xml:space="preserve">será </w:t>
      </w:r>
      <w:r w:rsidRPr="00D22F1C">
        <w:rPr>
          <w:rFonts w:cstheme="minorHAnsi"/>
          <w:lang w:val="es-CO"/>
        </w:rPr>
        <w:t xml:space="preserve">la persona </w:t>
      </w:r>
      <w:r w:rsidR="00D71DCB" w:rsidRPr="00D22F1C">
        <w:rPr>
          <w:rFonts w:cstheme="minorHAnsi"/>
          <w:lang w:val="es-CO"/>
        </w:rPr>
        <w:t>única persona del grupo de autores con quien se mantendrá comunicación respecto a la aplicación del resumen extendido.</w:t>
      </w:r>
    </w:p>
    <w:p w14:paraId="6A9D22CE" w14:textId="5A770158" w:rsidR="00373316" w:rsidRPr="004420A4" w:rsidRDefault="00373316" w:rsidP="00FE7E98">
      <w:pPr>
        <w:pStyle w:val="Ttulo1"/>
        <w:spacing w:after="120"/>
        <w:jc w:val="center"/>
        <w:rPr>
          <w:rFonts w:asciiTheme="minorHAnsi" w:hAnsiTheme="minorHAnsi" w:cstheme="minorHAnsi"/>
          <w:b/>
          <w:bCs/>
          <w:sz w:val="24"/>
          <w:szCs w:val="24"/>
          <w:lang w:val="es-CO"/>
        </w:rPr>
      </w:pPr>
      <w:r w:rsidRPr="00F238A6">
        <w:rPr>
          <w:rFonts w:asciiTheme="minorHAnsi" w:hAnsiTheme="minorHAnsi" w:cstheme="minorHAnsi"/>
          <w:b/>
          <w:bCs/>
          <w:sz w:val="24"/>
          <w:szCs w:val="24"/>
          <w:lang w:val="es-CO"/>
        </w:rPr>
        <w:t>RESUMEN</w:t>
      </w:r>
      <w:r w:rsidR="00353FC0" w:rsidRPr="00F238A6">
        <w:rPr>
          <w:rFonts w:asciiTheme="minorHAnsi" w:hAnsiTheme="minorHAnsi" w:cstheme="minorHAnsi"/>
          <w:b/>
          <w:bCs/>
          <w:sz w:val="24"/>
          <w:szCs w:val="24"/>
          <w:lang w:val="es-CO"/>
        </w:rPr>
        <w:t xml:space="preserve"> </w:t>
      </w:r>
      <w:r w:rsidR="00353FC0" w:rsidRPr="004420A4">
        <w:rPr>
          <w:rFonts w:asciiTheme="minorHAnsi" w:hAnsiTheme="minorHAnsi" w:cstheme="minorHAnsi"/>
          <w:sz w:val="24"/>
          <w:szCs w:val="24"/>
          <w:lang w:val="es-CO"/>
        </w:rPr>
        <w:t>(</w:t>
      </w:r>
      <w:r w:rsidR="00353FC0" w:rsidRPr="004420A4">
        <w:rPr>
          <w:rFonts w:asciiTheme="minorHAnsi" w:hAnsiTheme="minorHAnsi" w:cstheme="minorHAnsi"/>
          <w:i/>
          <w:iCs/>
          <w:sz w:val="20"/>
          <w:szCs w:val="20"/>
          <w:lang w:val="es-CO"/>
        </w:rPr>
        <w:t>Subtítulo en fuente C</w:t>
      </w:r>
      <w:r w:rsidR="00A240AC" w:rsidRPr="004420A4">
        <w:rPr>
          <w:rFonts w:asciiTheme="minorHAnsi" w:hAnsiTheme="minorHAnsi" w:cstheme="minorHAnsi"/>
          <w:i/>
          <w:iCs/>
          <w:sz w:val="20"/>
          <w:szCs w:val="20"/>
          <w:lang w:val="es-CO"/>
        </w:rPr>
        <w:t>a</w:t>
      </w:r>
      <w:r w:rsidR="00353FC0" w:rsidRPr="004420A4">
        <w:rPr>
          <w:rFonts w:asciiTheme="minorHAnsi" w:hAnsiTheme="minorHAnsi" w:cstheme="minorHAnsi"/>
          <w:i/>
          <w:iCs/>
          <w:sz w:val="20"/>
          <w:szCs w:val="20"/>
          <w:lang w:val="es-CO"/>
        </w:rPr>
        <w:t>libri, tamaño 12, negrilla, centrado)</w:t>
      </w:r>
    </w:p>
    <w:p w14:paraId="592586A3" w14:textId="5E0FC59D" w:rsidR="006A4D86" w:rsidRPr="00D22F1C" w:rsidRDefault="006A4D86" w:rsidP="00FE7E98">
      <w:pPr>
        <w:spacing w:before="120" w:after="120"/>
        <w:jc w:val="both"/>
        <w:rPr>
          <w:rFonts w:cstheme="minorHAnsi"/>
          <w:lang w:val="es-CO"/>
        </w:rPr>
      </w:pPr>
      <w:r w:rsidRPr="00D22F1C">
        <w:rPr>
          <w:rFonts w:cstheme="minorHAnsi"/>
          <w:lang w:val="es-CO"/>
        </w:rPr>
        <w:t>En esta sección se adjuntará un resumen gráfico</w:t>
      </w:r>
      <w:r w:rsidR="00C6783E" w:rsidRPr="00D22F1C">
        <w:rPr>
          <w:rFonts w:cstheme="minorHAnsi"/>
          <w:lang w:val="es-CO"/>
        </w:rPr>
        <w:t xml:space="preserve"> opcional</w:t>
      </w:r>
      <w:r w:rsidR="00613353" w:rsidRPr="00D22F1C">
        <w:rPr>
          <w:rFonts w:cstheme="minorHAnsi"/>
          <w:lang w:val="es-CO"/>
        </w:rPr>
        <w:t>, que corresponde a</w:t>
      </w:r>
      <w:r w:rsidRPr="00D22F1C">
        <w:rPr>
          <w:rFonts w:cstheme="minorHAnsi"/>
          <w:lang w:val="es-CO"/>
        </w:rPr>
        <w:t xml:space="preserve"> una figura diseñada para este propósito </w:t>
      </w:r>
      <w:r w:rsidR="003D50FD" w:rsidRPr="00D22F1C">
        <w:rPr>
          <w:rFonts w:cstheme="minorHAnsi"/>
          <w:lang w:val="es-CO"/>
        </w:rPr>
        <w:t xml:space="preserve">y </w:t>
      </w:r>
      <w:r w:rsidRPr="00D22F1C">
        <w:rPr>
          <w:rFonts w:cstheme="minorHAnsi"/>
          <w:lang w:val="es-CO"/>
        </w:rPr>
        <w:t xml:space="preserve">que </w:t>
      </w:r>
      <w:r w:rsidR="00EC2801" w:rsidRPr="00D22F1C">
        <w:rPr>
          <w:rFonts w:cstheme="minorHAnsi"/>
          <w:lang w:val="es-CO"/>
        </w:rPr>
        <w:t xml:space="preserve">presenta </w:t>
      </w:r>
      <w:r w:rsidRPr="00D22F1C">
        <w:rPr>
          <w:rFonts w:cstheme="minorHAnsi"/>
          <w:lang w:val="es-CO"/>
        </w:rPr>
        <w:t>el contenido del artículo para los lectores con un solo vistazo.</w:t>
      </w:r>
      <w:r w:rsidR="00A81D2F" w:rsidRPr="00D22F1C">
        <w:rPr>
          <w:rFonts w:cstheme="minorHAnsi"/>
          <w:lang w:val="es-CO"/>
        </w:rPr>
        <w:t xml:space="preserve"> </w:t>
      </w:r>
      <w:r w:rsidR="00CB7FD4">
        <w:rPr>
          <w:rFonts w:cstheme="minorHAnsi"/>
          <w:lang w:val="es-CO"/>
        </w:rPr>
        <w:t xml:space="preserve">A </w:t>
      </w:r>
      <w:r w:rsidR="00BA24B9">
        <w:rPr>
          <w:rFonts w:cstheme="minorHAnsi"/>
          <w:lang w:val="es-CO"/>
        </w:rPr>
        <w:t>continuación,</w:t>
      </w:r>
      <w:r w:rsidR="00CB7FD4">
        <w:rPr>
          <w:rFonts w:cstheme="minorHAnsi"/>
          <w:lang w:val="es-CO"/>
        </w:rPr>
        <w:t xml:space="preserve"> se muestra un ejemplo de resumen gráfico. </w:t>
      </w:r>
      <w:r w:rsidR="00A81D2F" w:rsidRPr="00D22F1C">
        <w:rPr>
          <w:rFonts w:cstheme="minorHAnsi"/>
          <w:lang w:val="es-CO"/>
        </w:rPr>
        <w:t xml:space="preserve">Para </w:t>
      </w:r>
      <w:r w:rsidR="003D50FD" w:rsidRPr="00D22F1C">
        <w:rPr>
          <w:rFonts w:cstheme="minorHAnsi"/>
          <w:lang w:val="es-CO"/>
        </w:rPr>
        <w:t>sugerencias</w:t>
      </w:r>
      <w:r w:rsidR="00A81D2F" w:rsidRPr="00D22F1C">
        <w:rPr>
          <w:rFonts w:cstheme="minorHAnsi"/>
          <w:lang w:val="es-CO"/>
        </w:rPr>
        <w:t xml:space="preserve"> de cómo realizarlo</w:t>
      </w:r>
      <w:r w:rsidR="00F93C06">
        <w:rPr>
          <w:rFonts w:cstheme="minorHAnsi"/>
          <w:lang w:val="es-CO"/>
        </w:rPr>
        <w:t xml:space="preserve"> se </w:t>
      </w:r>
      <w:r w:rsidR="00B148BC">
        <w:rPr>
          <w:rFonts w:cstheme="minorHAnsi"/>
          <w:lang w:val="es-CO"/>
        </w:rPr>
        <w:t xml:space="preserve">recomienda </w:t>
      </w:r>
      <w:r w:rsidR="00A81D2F" w:rsidRPr="00D22F1C">
        <w:rPr>
          <w:rFonts w:cstheme="minorHAnsi"/>
          <w:lang w:val="es-CO"/>
        </w:rPr>
        <w:t xml:space="preserve">consultar </w:t>
      </w:r>
      <w:hyperlink r:id="rId8" w:history="1">
        <w:r w:rsidR="00A81D2F" w:rsidRPr="00D22F1C">
          <w:rPr>
            <w:rStyle w:val="Hipervnculo"/>
            <w:rFonts w:cstheme="minorHAnsi"/>
            <w:lang w:val="es-CO"/>
          </w:rPr>
          <w:t>este enlace.</w:t>
        </w:r>
      </w:hyperlink>
      <w:r w:rsidR="00560B46" w:rsidRPr="00D22F1C">
        <w:rPr>
          <w:rStyle w:val="Hipervnculo"/>
          <w:rFonts w:cstheme="minorHAnsi"/>
          <w:lang w:val="es-CO"/>
        </w:rPr>
        <w:t xml:space="preserve"> </w:t>
      </w:r>
    </w:p>
    <w:p w14:paraId="23799235" w14:textId="0C4FF37D" w:rsidR="00F519D4" w:rsidRPr="00F238A6" w:rsidRDefault="006A4D86" w:rsidP="006A4D86">
      <w:pPr>
        <w:spacing w:after="0" w:line="240" w:lineRule="auto"/>
        <w:jc w:val="center"/>
        <w:rPr>
          <w:rFonts w:cstheme="minorHAnsi"/>
          <w:sz w:val="20"/>
          <w:szCs w:val="20"/>
          <w:lang w:val="es-CO"/>
        </w:rPr>
      </w:pPr>
      <w:r w:rsidRPr="00F238A6">
        <w:rPr>
          <w:rFonts w:cstheme="minorHAnsi"/>
          <w:noProof/>
          <w:sz w:val="20"/>
          <w:szCs w:val="20"/>
          <w:lang w:val="es-CO"/>
        </w:rPr>
        <w:drawing>
          <wp:inline distT="0" distB="0" distL="0" distR="0" wp14:anchorId="64B9C3EA" wp14:editId="110B1CF2">
            <wp:extent cx="4987636" cy="2805743"/>
            <wp:effectExtent l="0" t="0" r="3810" b="0"/>
            <wp:docPr id="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4438" cy="2860198"/>
                    </a:xfrm>
                    <a:prstGeom prst="rect">
                      <a:avLst/>
                    </a:prstGeom>
                  </pic:spPr>
                </pic:pic>
              </a:graphicData>
            </a:graphic>
          </wp:inline>
        </w:drawing>
      </w:r>
    </w:p>
    <w:p w14:paraId="1D59FFCE" w14:textId="3F8D2524" w:rsidR="00606020" w:rsidRPr="00F238A6" w:rsidRDefault="00606020" w:rsidP="004420A4">
      <w:pPr>
        <w:spacing w:before="120" w:after="120" w:line="240" w:lineRule="auto"/>
        <w:jc w:val="center"/>
        <w:rPr>
          <w:rFonts w:cstheme="minorHAnsi"/>
          <w:sz w:val="20"/>
          <w:szCs w:val="20"/>
          <w:lang w:val="es-CO"/>
        </w:rPr>
      </w:pPr>
      <w:r w:rsidRPr="004420A4">
        <w:rPr>
          <w:rFonts w:cstheme="minorHAnsi"/>
          <w:sz w:val="20"/>
          <w:szCs w:val="20"/>
          <w:lang w:val="es-CO"/>
        </w:rPr>
        <w:t xml:space="preserve">Fuente: </w:t>
      </w:r>
      <w:r w:rsidRPr="004420A4">
        <w:rPr>
          <w:rFonts w:cstheme="minorHAnsi"/>
          <w:sz w:val="20"/>
          <w:szCs w:val="20"/>
          <w:lang w:val="es-CO"/>
        </w:rPr>
        <w:fldChar w:fldCharType="begin" w:fldLock="1"/>
      </w:r>
      <w:r w:rsidR="006F1F2E" w:rsidRPr="004420A4">
        <w:rPr>
          <w:rFonts w:cstheme="minorHAnsi"/>
          <w:sz w:val="20"/>
          <w:szCs w:val="20"/>
          <w:lang w:val="es-CO"/>
        </w:rPr>
        <w:instrText>ADDIN CSL_CITATION {"citationItems":[{"id":"ITEM-1","itemData":{"DOI":"10.1016/j.kint.2021.01.029","ISSN":"15231755","PMID":"33675843","abstract":"Transplant glomerulopathy is established as a hallmark of chronic antibody-mediated rejection in kidney transplant patients with donor-specific HLA antibodies (HLA-DSA). The clinical importance of transplant glomerulopathy in the absence of HLA-DSA is not well established. To help define this, 954 patients (encompassing 3744 biopsies) who underwent kidney transplantation 2004-2013 were studied with retrospective high-resolution HLA genotyping of both donors and recipients. The risk factors, histopathological appearance and prognosis of cases with transplant glomerulopathy in the absence of HLA-DSA were compared to those cases with HLA-DSA, and the impact of the PIRCHE-II score and eplet mismatches on development of transplant glomerulopathy evaluated. In this cohort, 10.3% developed transplant glomerulopathy, on average 3.2 years post-transplant. At the time of glomerulopathy, 23.5% had persistent pre-transplant or de novo HLA-DSA, while 76.5% were HLA-DSA negative. Only HLA-DSA was identified as a risk factor for glomerulopathy development as eplet mismatches and the PIRCHE-II score did not associate. HLA-DSA negative biopsies with glomerulopathy had less interstitial inflammation, less glomerulitis, and less C4d deposition in the peritubular capillaries compared to the HLA-DSA positive biopsies with glomerulopathy. While graft function was comparable between the two groups, HLA-DSA positive glomerulopathy was associated with a significantly higher risk of graft failure compared to HLA-DSA negative glomerulopathy (Hazard Ratio 3.84; 95% confidence interval 1.94-7.59). Landmark analysis three-years post-transplant showed that HLA-DSA negative patients with glomerulopathy still had a significant increased risk of graft failure compared to patients negative for glomerulopathy (2.62; 1.46-4.72). Thus, transplant glomerulopathy often occurs in the absence of HLA-DSA, independent of HLA molecular mismatches, and represents a different phenotype with less concomitant inflammation and better graft survival compared to that developed in the presence of HLA-DSA.","author":[{"dropping-particle":"","family":"Senev","given":"Aleksandar","non-dropping-particle":"","parse-names":false,"suffix":""},{"dropping-particle":"","family":"Loon","given":"Elisabet","non-dropping-particle":"Van","parse-names":false,"suffix":""},{"dropping-particle":"","family":"Lerut","given":"Evelyne","non-dropping-particle":"","parse-names":false,"suffix":""},{"dropping-particle":"","family":"Callemeyn","given":"Jasper","non-dropping-particle":"","parse-names":false,"suffix":""},{"dropping-particle":"","family":"Coemans","given":"Maarten","non-dropping-particle":"","parse-names":false,"suffix":""},{"dropping-particle":"","family":"Sandt","given":"Vicky","non-dropping-particle":"Van","parse-names":false,"suffix":""},{"dropping-particle":"","family":"Kuypers","given":"Dirk","non-dropping-particle":"","parse-names":false,"suffix":""},{"dropping-particle":"","family":"Emonds","given":"Marie Paule","non-dropping-particle":"","parse-names":false,"suffix":""},{"dropping-particle":"","family":"Naesens","given":"Maarten","non-dropping-particle":"","parse-names":false,"suffix":""}],"container-title":"Kidney International","id":"ITEM-1","issue":"2","issued":{"date-parts":[["2021","8","1"]]},"page":"401-414","publisher":"Elsevier B.V.","title":"Risk factors, histopathological features, and graft outcome of transplant glomerulopathy in the absence of donor-specific HLA antibodies","type":"article-journal","volume":"100"},"uris":["http://www.mendeley.com/documents/?uuid=13c24ae1-e615-3c21-975e-9ba50357537e"]}],"mendeley":{"formattedCitation":"(Senev et al., 2021)","plainTextFormattedCitation":"(Senev et al., 2021)","previouslyFormattedCitation":"(Senev et al., 2021)"},"properties":{"noteIndex":0},"schema":"https://github.com/citation-style-language/schema/raw/master/csl-citation.json"}</w:instrText>
      </w:r>
      <w:r w:rsidRPr="004420A4">
        <w:rPr>
          <w:rFonts w:cstheme="minorHAnsi"/>
          <w:sz w:val="20"/>
          <w:szCs w:val="20"/>
          <w:lang w:val="es-CO"/>
        </w:rPr>
        <w:fldChar w:fldCharType="separate"/>
      </w:r>
      <w:r w:rsidRPr="004420A4">
        <w:rPr>
          <w:rFonts w:cstheme="minorHAnsi"/>
          <w:noProof/>
          <w:sz w:val="20"/>
          <w:szCs w:val="20"/>
          <w:lang w:val="es-CO"/>
        </w:rPr>
        <w:t>(Senev et al., 2021)</w:t>
      </w:r>
      <w:r w:rsidRPr="004420A4">
        <w:rPr>
          <w:rFonts w:cstheme="minorHAnsi"/>
          <w:sz w:val="20"/>
          <w:szCs w:val="20"/>
          <w:lang w:val="es-CO"/>
        </w:rPr>
        <w:fldChar w:fldCharType="end"/>
      </w:r>
      <w:r w:rsidR="00891E18">
        <w:rPr>
          <w:rFonts w:cstheme="minorHAnsi"/>
          <w:sz w:val="20"/>
          <w:szCs w:val="20"/>
          <w:lang w:val="es-CO"/>
        </w:rPr>
        <w:t>.</w:t>
      </w:r>
    </w:p>
    <w:p w14:paraId="020C73E3" w14:textId="193B5B75" w:rsidR="00A67BBB" w:rsidRPr="00D22F1C" w:rsidRDefault="29356E70" w:rsidP="00FE7E98">
      <w:pPr>
        <w:spacing w:before="120" w:after="120" w:line="240" w:lineRule="auto"/>
        <w:jc w:val="both"/>
        <w:rPr>
          <w:rFonts w:cstheme="minorHAnsi"/>
          <w:lang w:val="es-CO"/>
        </w:rPr>
      </w:pPr>
      <w:r w:rsidRPr="00D22F1C">
        <w:rPr>
          <w:rFonts w:cstheme="minorHAnsi"/>
          <w:b/>
          <w:bCs/>
          <w:lang w:val="es-CO"/>
        </w:rPr>
        <w:t xml:space="preserve">Palabras clave: </w:t>
      </w:r>
      <w:r w:rsidRPr="00D22F1C">
        <w:rPr>
          <w:rFonts w:cstheme="minorHAnsi"/>
          <w:lang w:val="es-CO"/>
        </w:rPr>
        <w:t xml:space="preserve">Las palabras clave relacionadas con el trabajo se indican en esta sección. Esta sección debe contener un máximo de 5 palabras en español </w:t>
      </w:r>
      <w:r w:rsidR="00854F76">
        <w:rPr>
          <w:rFonts w:cstheme="minorHAnsi"/>
          <w:lang w:val="es-CO"/>
        </w:rPr>
        <w:t xml:space="preserve">con fuente </w:t>
      </w:r>
      <w:r w:rsidR="00ED31B1" w:rsidRPr="00D22F1C">
        <w:rPr>
          <w:rFonts w:cstheme="minorHAnsi"/>
          <w:lang w:val="es-CO"/>
        </w:rPr>
        <w:t>Calibri</w:t>
      </w:r>
      <w:r w:rsidR="00854F76">
        <w:rPr>
          <w:rFonts w:cstheme="minorHAnsi"/>
          <w:lang w:val="es-CO"/>
        </w:rPr>
        <w:t>, tamaño 11,</w:t>
      </w:r>
      <w:r w:rsidRPr="00D22F1C">
        <w:rPr>
          <w:rFonts w:cstheme="minorHAnsi"/>
          <w:lang w:val="es-CO"/>
        </w:rPr>
        <w:t xml:space="preserve"> y se deben separar con punto y coma. </w:t>
      </w:r>
    </w:p>
    <w:p w14:paraId="7B157D83" w14:textId="48F54861" w:rsidR="00A67BBB" w:rsidRPr="004420A4" w:rsidRDefault="00373316" w:rsidP="004420A4">
      <w:pPr>
        <w:pStyle w:val="Ttulo1"/>
        <w:numPr>
          <w:ilvl w:val="0"/>
          <w:numId w:val="1"/>
        </w:numPr>
        <w:spacing w:before="120" w:after="120"/>
        <w:ind w:left="714" w:hanging="357"/>
        <w:jc w:val="both"/>
        <w:rPr>
          <w:rFonts w:asciiTheme="minorHAnsi" w:hAnsiTheme="minorHAnsi" w:cstheme="minorHAnsi"/>
          <w:b/>
          <w:bCs/>
          <w:sz w:val="24"/>
          <w:szCs w:val="24"/>
          <w:lang w:val="es-CO"/>
        </w:rPr>
      </w:pPr>
      <w:r w:rsidRPr="004420A4">
        <w:rPr>
          <w:rFonts w:asciiTheme="minorHAnsi" w:hAnsiTheme="minorHAnsi" w:cstheme="minorHAnsi"/>
          <w:b/>
          <w:bCs/>
          <w:sz w:val="24"/>
          <w:szCs w:val="24"/>
          <w:lang w:val="es-CO"/>
        </w:rPr>
        <w:lastRenderedPageBreak/>
        <w:t>INTRODUCCIÓN</w:t>
      </w:r>
      <w:r w:rsidR="00A67BBB" w:rsidRPr="004420A4">
        <w:rPr>
          <w:rFonts w:asciiTheme="minorHAnsi" w:hAnsiTheme="minorHAnsi" w:cstheme="minorHAnsi"/>
          <w:b/>
          <w:bCs/>
          <w:sz w:val="24"/>
          <w:szCs w:val="24"/>
          <w:lang w:val="es-CO"/>
        </w:rPr>
        <w:t xml:space="preserve"> </w:t>
      </w:r>
      <w:r w:rsidR="00D80C3F" w:rsidRPr="004420A4">
        <w:rPr>
          <w:rFonts w:asciiTheme="minorHAnsi" w:hAnsiTheme="minorHAnsi" w:cstheme="minorHAnsi"/>
          <w:sz w:val="24"/>
          <w:szCs w:val="24"/>
          <w:lang w:val="es-CO"/>
        </w:rPr>
        <w:t>(</w:t>
      </w:r>
      <w:r w:rsidR="00D80C3F" w:rsidRPr="004420A4">
        <w:rPr>
          <w:rFonts w:asciiTheme="minorHAnsi" w:hAnsiTheme="minorHAnsi" w:cstheme="minorHAnsi"/>
          <w:i/>
          <w:iCs/>
          <w:sz w:val="20"/>
          <w:szCs w:val="20"/>
          <w:lang w:val="es-CO"/>
        </w:rPr>
        <w:t>Subtítulo en fuente Calibri, tamaño 12, negrilla)</w:t>
      </w:r>
      <w:r w:rsidR="00D80C3F" w:rsidRPr="004420A4" w:rsidDel="00D80C3F">
        <w:rPr>
          <w:rFonts w:asciiTheme="minorHAnsi" w:hAnsiTheme="minorHAnsi" w:cstheme="minorHAnsi"/>
          <w:i/>
          <w:iCs/>
          <w:sz w:val="20"/>
          <w:szCs w:val="20"/>
          <w:lang w:val="es-CO"/>
        </w:rPr>
        <w:t xml:space="preserve"> </w:t>
      </w:r>
    </w:p>
    <w:p w14:paraId="1B1F8CBC" w14:textId="41F44A62" w:rsidR="005062ED" w:rsidRPr="004420A4" w:rsidRDefault="000C5B5B" w:rsidP="00FE7E98">
      <w:pPr>
        <w:spacing w:before="120" w:after="120" w:line="240" w:lineRule="auto"/>
        <w:jc w:val="both"/>
        <w:rPr>
          <w:rFonts w:cstheme="minorHAnsi"/>
          <w:lang w:val="es-CO"/>
        </w:rPr>
      </w:pPr>
      <w:r>
        <w:rPr>
          <w:rFonts w:cstheme="minorHAnsi"/>
          <w:lang w:val="es-CO"/>
        </w:rPr>
        <w:t xml:space="preserve">El contenido de cada sección del resumen extendido debe ser redactado </w:t>
      </w:r>
      <w:r w:rsidR="29356E70" w:rsidRPr="004420A4">
        <w:rPr>
          <w:rFonts w:cstheme="minorHAnsi"/>
          <w:lang w:val="es-CO"/>
        </w:rPr>
        <w:t xml:space="preserve">con fuente </w:t>
      </w:r>
      <w:r w:rsidR="00ED31B1" w:rsidRPr="004420A4">
        <w:rPr>
          <w:rFonts w:cstheme="minorHAnsi"/>
          <w:lang w:val="es-CO"/>
        </w:rPr>
        <w:t>Calibri</w:t>
      </w:r>
      <w:r w:rsidR="29356E70" w:rsidRPr="004420A4">
        <w:rPr>
          <w:rFonts w:cstheme="minorHAnsi"/>
          <w:lang w:val="es-CO"/>
        </w:rPr>
        <w:t xml:space="preserve">, </w:t>
      </w:r>
      <w:r>
        <w:rPr>
          <w:rFonts w:cstheme="minorHAnsi"/>
          <w:lang w:val="es-CO"/>
        </w:rPr>
        <w:t xml:space="preserve">tamaño 11, </w:t>
      </w:r>
      <w:r w:rsidR="29356E70" w:rsidRPr="004420A4">
        <w:rPr>
          <w:rFonts w:cstheme="minorHAnsi"/>
          <w:lang w:val="es-CO"/>
        </w:rPr>
        <w:t>justificado</w:t>
      </w:r>
      <w:r>
        <w:rPr>
          <w:rFonts w:cstheme="minorHAnsi"/>
          <w:lang w:val="es-CO"/>
        </w:rPr>
        <w:t xml:space="preserve">, con </w:t>
      </w:r>
      <w:r w:rsidR="00D213C5">
        <w:rPr>
          <w:rFonts w:cstheme="minorHAnsi"/>
          <w:lang w:val="es-CO"/>
        </w:rPr>
        <w:t>interlineado sencillo de 6 puntos.</w:t>
      </w:r>
      <w:r>
        <w:rPr>
          <w:rFonts w:cstheme="minorHAnsi"/>
          <w:lang w:val="es-CO"/>
        </w:rPr>
        <w:t xml:space="preserve"> La sección de introducción debe tener</w:t>
      </w:r>
      <w:r w:rsidR="00A90BC5" w:rsidRPr="004420A4">
        <w:rPr>
          <w:rFonts w:cstheme="minorHAnsi"/>
          <w:lang w:val="es-CO"/>
        </w:rPr>
        <w:t xml:space="preserve"> un máximo de 350 palabras</w:t>
      </w:r>
      <w:r w:rsidR="29356E70" w:rsidRPr="004420A4">
        <w:rPr>
          <w:rFonts w:cstheme="minorHAnsi"/>
          <w:lang w:val="es-CO"/>
        </w:rPr>
        <w:t>. L</w:t>
      </w:r>
      <w:r w:rsidR="00253D01" w:rsidRPr="004420A4">
        <w:rPr>
          <w:rFonts w:cstheme="minorHAnsi"/>
          <w:lang w:val="es-CO"/>
        </w:rPr>
        <w:t>a</w:t>
      </w:r>
      <w:r w:rsidR="29356E70" w:rsidRPr="004420A4">
        <w:rPr>
          <w:rFonts w:cstheme="minorHAnsi"/>
          <w:lang w:val="es-CO"/>
        </w:rPr>
        <w:t xml:space="preserve">s márgenes de </w:t>
      </w:r>
      <w:r>
        <w:rPr>
          <w:rFonts w:cstheme="minorHAnsi"/>
          <w:lang w:val="es-CO"/>
        </w:rPr>
        <w:t>página de todo el documento</w:t>
      </w:r>
      <w:r w:rsidR="29356E70" w:rsidRPr="004420A4">
        <w:rPr>
          <w:rFonts w:cstheme="minorHAnsi"/>
          <w:lang w:val="es-CO"/>
        </w:rPr>
        <w:t xml:space="preserve"> se establecen respecto </w:t>
      </w:r>
      <w:r w:rsidR="00097F2A" w:rsidRPr="004420A4">
        <w:rPr>
          <w:rFonts w:cstheme="minorHAnsi"/>
          <w:lang w:val="es-CO"/>
        </w:rPr>
        <w:t xml:space="preserve">a la hoja tamaño carta </w:t>
      </w:r>
      <w:r w:rsidR="29356E70" w:rsidRPr="004420A4">
        <w:rPr>
          <w:rFonts w:cstheme="minorHAnsi"/>
          <w:lang w:val="es-CO"/>
        </w:rPr>
        <w:t>y tienen 2</w:t>
      </w:r>
      <w:r>
        <w:rPr>
          <w:rFonts w:cstheme="minorHAnsi"/>
          <w:lang w:val="es-CO"/>
        </w:rPr>
        <w:t>,</w:t>
      </w:r>
      <w:r w:rsidR="29356E70" w:rsidRPr="004420A4">
        <w:rPr>
          <w:rFonts w:cstheme="minorHAnsi"/>
          <w:lang w:val="es-CO"/>
        </w:rPr>
        <w:t xml:space="preserve">5 cm de ancho desde la derecha, izquierda, superior e inferior. </w:t>
      </w:r>
      <w:r w:rsidR="29356E70" w:rsidRPr="004420A4">
        <w:rPr>
          <w:rFonts w:cstheme="minorHAnsi"/>
          <w:b/>
          <w:bCs/>
          <w:lang w:val="es-CO"/>
        </w:rPr>
        <w:t xml:space="preserve">Los resúmenes extendidos no deben exceder un total de </w:t>
      </w:r>
      <w:r w:rsidR="00004E67" w:rsidRPr="004420A4">
        <w:rPr>
          <w:rFonts w:cstheme="minorHAnsi"/>
          <w:b/>
          <w:bCs/>
          <w:lang w:val="es-CO"/>
        </w:rPr>
        <w:t>2</w:t>
      </w:r>
      <w:r>
        <w:rPr>
          <w:rFonts w:cstheme="minorHAnsi"/>
          <w:b/>
          <w:bCs/>
          <w:lang w:val="es-CO"/>
        </w:rPr>
        <w:t>.</w:t>
      </w:r>
      <w:r w:rsidR="00C5230C" w:rsidRPr="004420A4">
        <w:rPr>
          <w:rFonts w:cstheme="minorHAnsi"/>
          <w:b/>
          <w:bCs/>
          <w:lang w:val="es-CO"/>
        </w:rPr>
        <w:t>0</w:t>
      </w:r>
      <w:r w:rsidR="00004E67" w:rsidRPr="004420A4">
        <w:rPr>
          <w:rFonts w:cstheme="minorHAnsi"/>
          <w:b/>
          <w:bCs/>
          <w:lang w:val="es-CO"/>
        </w:rPr>
        <w:t>00 palabras</w:t>
      </w:r>
      <w:r w:rsidR="29356E70" w:rsidRPr="004420A4">
        <w:rPr>
          <w:rFonts w:cstheme="minorHAnsi"/>
          <w:lang w:val="es-CO"/>
        </w:rPr>
        <w:t xml:space="preserve"> </w:t>
      </w:r>
      <w:r w:rsidR="00842313" w:rsidRPr="004420A4">
        <w:rPr>
          <w:rFonts w:cstheme="minorHAnsi"/>
          <w:b/>
          <w:bCs/>
          <w:lang w:val="es-CO"/>
        </w:rPr>
        <w:t>sin contar</w:t>
      </w:r>
      <w:r w:rsidR="00C41354" w:rsidRPr="004420A4">
        <w:rPr>
          <w:rFonts w:cstheme="minorHAnsi"/>
          <w:b/>
          <w:bCs/>
          <w:lang w:val="es-CO"/>
        </w:rPr>
        <w:t xml:space="preserve"> las referencias</w:t>
      </w:r>
      <w:r w:rsidR="00C41354" w:rsidRPr="004420A4">
        <w:rPr>
          <w:rFonts w:cstheme="minorHAnsi"/>
          <w:lang w:val="es-CO"/>
        </w:rPr>
        <w:t xml:space="preserve">. </w:t>
      </w:r>
      <w:r w:rsidR="00C5230C" w:rsidRPr="004420A4">
        <w:rPr>
          <w:rFonts w:cstheme="minorHAnsi"/>
          <w:b/>
          <w:bCs/>
          <w:lang w:val="es-CO"/>
        </w:rPr>
        <w:t xml:space="preserve">La extensión </w:t>
      </w:r>
      <w:r w:rsidR="00A90BC5" w:rsidRPr="004420A4">
        <w:rPr>
          <w:rFonts w:cstheme="minorHAnsi"/>
          <w:b/>
          <w:bCs/>
          <w:lang w:val="es-CO"/>
        </w:rPr>
        <w:t xml:space="preserve">total </w:t>
      </w:r>
      <w:r w:rsidR="00C5230C" w:rsidRPr="004420A4">
        <w:rPr>
          <w:rFonts w:cstheme="minorHAnsi"/>
          <w:b/>
          <w:bCs/>
          <w:lang w:val="es-CO"/>
        </w:rPr>
        <w:t xml:space="preserve">del resumen extendido deberá ser </w:t>
      </w:r>
      <w:r w:rsidR="00A90BC5" w:rsidRPr="004420A4">
        <w:rPr>
          <w:rFonts w:cstheme="minorHAnsi"/>
          <w:b/>
          <w:bCs/>
          <w:lang w:val="es-CO"/>
        </w:rPr>
        <w:t xml:space="preserve">entre 3 y </w:t>
      </w:r>
      <w:r w:rsidR="00C5230C" w:rsidRPr="004420A4">
        <w:rPr>
          <w:rFonts w:cstheme="minorHAnsi"/>
          <w:b/>
          <w:bCs/>
          <w:lang w:val="es-CO"/>
        </w:rPr>
        <w:t>5 páginas</w:t>
      </w:r>
      <w:r w:rsidR="00017849" w:rsidRPr="004420A4">
        <w:rPr>
          <w:rFonts w:cstheme="minorHAnsi"/>
          <w:b/>
          <w:bCs/>
          <w:lang w:val="es-CO"/>
        </w:rPr>
        <w:t xml:space="preserve"> incluyendo todas las figuras y tablas</w:t>
      </w:r>
      <w:r w:rsidR="00C5230C" w:rsidRPr="004420A4">
        <w:rPr>
          <w:rFonts w:cstheme="minorHAnsi"/>
          <w:b/>
          <w:bCs/>
          <w:lang w:val="es-CO"/>
        </w:rPr>
        <w:t xml:space="preserve">. </w:t>
      </w:r>
      <w:r w:rsidR="00C41354" w:rsidRPr="004420A4">
        <w:rPr>
          <w:rFonts w:cstheme="minorHAnsi"/>
          <w:lang w:val="es-CO"/>
        </w:rPr>
        <w:t xml:space="preserve">Las hojas </w:t>
      </w:r>
      <w:r w:rsidR="29356E70" w:rsidRPr="004420A4">
        <w:rPr>
          <w:rFonts w:cstheme="minorHAnsi"/>
          <w:lang w:val="es-CO"/>
        </w:rPr>
        <w:t xml:space="preserve">deben estar numeradas. </w:t>
      </w:r>
      <w:r w:rsidR="009E213F" w:rsidRPr="004420A4">
        <w:rPr>
          <w:rFonts w:cstheme="minorHAnsi"/>
          <w:lang w:val="es-CO"/>
        </w:rPr>
        <w:t xml:space="preserve">El separador de decimales deberá ser </w:t>
      </w:r>
      <w:r w:rsidR="00C6783E" w:rsidRPr="004420A4">
        <w:rPr>
          <w:rFonts w:cstheme="minorHAnsi"/>
          <w:lang w:val="es-CO"/>
        </w:rPr>
        <w:t>la coma</w:t>
      </w:r>
      <w:r w:rsidR="009E213F" w:rsidRPr="004420A4">
        <w:rPr>
          <w:rFonts w:cstheme="minorHAnsi"/>
          <w:lang w:val="es-CO"/>
        </w:rPr>
        <w:t xml:space="preserve"> (</w:t>
      </w:r>
      <w:r w:rsidR="00C6783E" w:rsidRPr="004420A4">
        <w:rPr>
          <w:rFonts w:cstheme="minorHAnsi"/>
          <w:lang w:val="es-CO"/>
        </w:rPr>
        <w:t>,</w:t>
      </w:r>
      <w:r w:rsidR="009E213F" w:rsidRPr="004420A4">
        <w:rPr>
          <w:rFonts w:cstheme="minorHAnsi"/>
          <w:lang w:val="es-CO"/>
        </w:rPr>
        <w:t xml:space="preserve">) </w:t>
      </w:r>
      <w:r w:rsidR="00C6783E" w:rsidRPr="004420A4">
        <w:rPr>
          <w:rFonts w:cstheme="minorHAnsi"/>
          <w:lang w:val="es-CO"/>
        </w:rPr>
        <w:t xml:space="preserve">y el separador de miles el punto (.) </w:t>
      </w:r>
      <w:r w:rsidR="009E213F" w:rsidRPr="004420A4">
        <w:rPr>
          <w:rFonts w:cstheme="minorHAnsi"/>
          <w:lang w:val="es-CO"/>
        </w:rPr>
        <w:t xml:space="preserve">para todas las cifras en el texto, tablas y figuras dentro del </w:t>
      </w:r>
      <w:r w:rsidR="00180AC1">
        <w:rPr>
          <w:rFonts w:cstheme="minorHAnsi"/>
          <w:lang w:val="es-CO"/>
        </w:rPr>
        <w:t>documento</w:t>
      </w:r>
      <w:r w:rsidR="009E213F" w:rsidRPr="004420A4">
        <w:rPr>
          <w:rFonts w:cstheme="minorHAnsi"/>
          <w:lang w:val="es-CO"/>
        </w:rPr>
        <w:t xml:space="preserve">. </w:t>
      </w:r>
      <w:r w:rsidR="29356E70" w:rsidRPr="004420A4">
        <w:rPr>
          <w:rFonts w:cstheme="minorHAnsi"/>
          <w:lang w:val="es-CO"/>
        </w:rPr>
        <w:t xml:space="preserve">Las referencias en el texto deben citarse en formato APA </w:t>
      </w:r>
      <w:r>
        <w:rPr>
          <w:rFonts w:cstheme="minorHAnsi"/>
          <w:lang w:val="es-CO"/>
        </w:rPr>
        <w:t>sépti</w:t>
      </w:r>
      <w:r w:rsidR="00C41354" w:rsidRPr="004420A4">
        <w:rPr>
          <w:rFonts w:cstheme="minorHAnsi"/>
          <w:lang w:val="es-CO"/>
        </w:rPr>
        <w:t>ma edición</w:t>
      </w:r>
      <w:r w:rsidR="29356E70" w:rsidRPr="004420A4">
        <w:rPr>
          <w:rFonts w:cstheme="minorHAnsi"/>
          <w:lang w:val="es-CO"/>
        </w:rPr>
        <w:t xml:space="preserve">, por ejemplo: </w:t>
      </w:r>
      <w:r w:rsidR="005062ED" w:rsidRPr="004420A4">
        <w:rPr>
          <w:rFonts w:cstheme="minorHAnsi"/>
          <w:lang w:val="es-CO"/>
        </w:rPr>
        <w:fldChar w:fldCharType="begin" w:fldLock="1"/>
      </w:r>
      <w:r w:rsidR="005062ED" w:rsidRPr="004420A4">
        <w:rPr>
          <w:rFonts w:cstheme="minorHAnsi"/>
          <w:lang w:val="es-CO"/>
        </w:rPr>
        <w:instrText>ADDIN CSL_CITATION {"citationItems":[{"id":"ITEM-1","itemData":{"DOI":"10.1016/j.envint.2018.04.018","ISSN":"18736750","PMID":"29704807","abstract":"Over the past decade, a range of sensor technologies became available on the market, enabling a revolutionary shift in air pollution monitoring and assessment. With their cost of up to three orders of magnitude lower than standard/reference instruments, many avenues for applications have opened up. In particular, broader participation in air quality discussion and utilisation of information on air pollution by communities has become possible. However, many questions have been also asked about the actual benefits of these technologies. To address this issue, we conducted a comprehensive literature search including both the scientific and grey literature. We focused upon two questions: (1) Are these technologies fit for the various purposes envisaged? and (2) How far have these technologies and their applications progressed to provide answers and solutions? Regarding the former, we concluded that there is no clear answer to the question, due to a lack of: sensor/monitor manufacturers' quantitative specifications of performance, consensus regarding recommended end-use and associated minimal performance targets of these technologies, and the ability of the prospective users to formulate the requirements for their applications, or conditions of the intended use. Numerous studies have assessed and reported sensor/monitor performance under a range of specific conditions, and in many cases the performance was concluded to be satisfactory. The specific use cases for sensors/monitors included outdoor in a stationary mode, outdoor in a mobile mode, indoor environments and personal monitoring. Under certain conditions of application, project goals, and monitoring environments, some sensors/monitors were fit for a specific purpose. Based on analysis of 17 large projects, which reached applied outcome stage, and typically conducted by consortia of organizations, we observed that a sizable fraction of them (~ 30%) were commercial and/or crowd-funded. This fact by itself signals a paradigm change in air quality monitoring, which previously had been primarily implemented by government organizations. An additional paradigm-shift indicator is the growing use of machine learning or other advanced data processing approaches to improve sensor/monitor agreement with reference monitors. There is still some way to go in enhancing application of the technologies for source apportionment, which is of particular necessity and urgency in developing countries. Also, there has been s…","author":[{"dropping-particle":"","family":"Morawska","given":"Lidia","non-dropping-particle":"","parse-names":false,"suffix":""},{"dropping-particle":"","family":"Thai","given":"Phong K.","non-dropping-particle":"","parse-names":false,"suffix":""},{"dropping-particle":"","family":"Liu","given":"Xiaoting","non-dropping-particle":"","parse-names":false,"suffix":""},{"dropping-particle":"","family":"Asumadu-Sakyi","given":"Akwasi","non-dropping-particle":"","parse-names":false,"suffix":""},{"dropping-particle":"","family":"Ayoko","given":"Godwin","non-dropping-particle":"","parse-names":false,"suffix":""},{"dropping-particle":"","family":"Bartonova","given":"Alena","non-dropping-particle":"","parse-names":false,"suffix":""},{"dropping-particle":"","family":"Bedini","given":"Andrea","non-dropping-particle":"","parse-names":false,"suffix":""},{"dropping-particle":"","family":"Chai","given":"Fahe","non-dropping-particle":"","parse-names":false,"suffix":""},{"dropping-particle":"","family":"Christensen","given":"Bryce","non-dropping-particle":"","parse-names":false,"suffix":""},{"dropping-particle":"","family":"Dunbabin","given":"Matthew","non-dropping-particle":"","parse-names":false,"suffix":""},{"dropping-particle":"","family":"Gao","given":"Jian","non-dropping-particle":"","parse-names":false,"suffix":""},{"dropping-particle":"","family":"Hagler","given":"Gayle S.W.","non-dropping-particle":"","parse-names":false,"suffix":""},{"dropping-particle":"","family":"Jayaratne","given":"Rohan","non-dropping-particle":"","parse-names":false,"suffix":""},{"dropping-particle":"","family":"Kumar","given":"Prashant","non-dropping-particle":"","parse-names":false,"suffix":""},{"dropping-particle":"","family":"Lau","given":"Alexis K.H.","non-dropping-particle":"","parse-names":false,"suffix":""},{"dropping-particle":"","family":"Louie","given":"Peter K.K.","non-dropping-particle":"","parse-names":false,"suffix":""},{"dropping-particle":"","family":"Mazaheri","given":"Mandana","non-dropping-particle":"","parse-names":false,"suffix":""},{"dropping-particle":"","family":"Ning","given":"Zhi","non-dropping-particle":"","parse-names":false,"suffix":""},{"dropping-particle":"","family":"Motta","given":"Nunzio","non-dropping-particle":"","parse-names":false,"suffix":""},{"dropping-particle":"","family":"Mullins","given":"Ben","non-dropping-particle":"","parse-names":false,"suffix":""},{"dropping-particle":"","family":"Rahman","given":"Md Mahmudur","non-dropping-particle":"","parse-names":false,"suffix":""},{"dropping-particle":"","family":"Ristovski","given":"Zoran","non-dropping-particle":"","parse-names":false,"suffix":""},{"dropping-particle":"","family":"Shafiei","given":"Mahnaz","non-dropping-particle":"","parse-names":false,"suffix":""},{"dropping-particle":"","family":"Tjondronegoro","given":"Dian","non-dropping-particle":"","parse-names":false,"suffix":""},{"dropping-particle":"","family":"Westerdahl","given":"Dane","non-dropping-particle":"","parse-names":false,"suffix":""},{"dropping-particle":"","family":"Williams","given":"Ron","non-dropping-particle":"","parse-names":false,"suffix":""}],"container-title":"Environment International","id":"ITEM-1","issue":"February","issued":{"date-parts":[["2018"]]},"page":"286-299","title":"Applications of low-cost sensing technologies for air quality monitoring and exposure assessment: How far have they gone?","type":"article-journal","volume":"116"},"uris":["http://www.mendeley.com/documents/?uuid=cdd440ab-99de-4047-9767-e6a0b8181adb"]}],"mendeley":{"formattedCitation":"(Morawska et al., 2018)","plainTextFormattedCitation":"(Morawska et al., 2018)","previouslyFormattedCitation":"(Morawska et al., 2018)"},"properties":{"noteIndex":0},"schema":"https://github.com/citation-style-language/schema/raw/master/csl-citation.json"}</w:instrText>
      </w:r>
      <w:r w:rsidR="005062ED" w:rsidRPr="004420A4">
        <w:rPr>
          <w:rFonts w:cstheme="minorHAnsi"/>
          <w:lang w:val="es-CO"/>
        </w:rPr>
        <w:fldChar w:fldCharType="separate"/>
      </w:r>
      <w:r w:rsidR="29356E70" w:rsidRPr="004420A4">
        <w:rPr>
          <w:rFonts w:cstheme="minorHAnsi"/>
          <w:noProof/>
          <w:lang w:val="es-CO"/>
        </w:rPr>
        <w:t>(Morawska et al., 2018)</w:t>
      </w:r>
      <w:r w:rsidR="005062ED" w:rsidRPr="004420A4">
        <w:rPr>
          <w:rFonts w:cstheme="minorHAnsi"/>
          <w:lang w:val="es-CO"/>
        </w:rPr>
        <w:fldChar w:fldCharType="end"/>
      </w:r>
      <w:r w:rsidR="29356E70" w:rsidRPr="004420A4">
        <w:rPr>
          <w:rFonts w:cstheme="minorHAnsi"/>
          <w:lang w:val="es-CO"/>
        </w:rPr>
        <w:t xml:space="preserve"> o </w:t>
      </w:r>
      <w:r w:rsidR="005062ED" w:rsidRPr="004420A4">
        <w:rPr>
          <w:rFonts w:cstheme="minorHAnsi"/>
          <w:lang w:val="es-CO"/>
        </w:rPr>
        <w:fldChar w:fldCharType="begin" w:fldLock="1"/>
      </w:r>
      <w:r w:rsidR="00923893">
        <w:rPr>
          <w:rFonts w:cstheme="minorHAnsi"/>
          <w:lang w:val="es-CO"/>
        </w:rPr>
        <w:instrText>ADDIN CSL_CITATION {"citationItems":[{"id":"ITEM-1","itemData":{"ISBN":"9789588971254","abstract":"Tercera Comunicación Nacional de Cambio Climático, Grupo de Monitoreo de Bosques y Carbono, Ecosistemas El IDEAM, como autoridad científica nacional de Cambio Climático, tiene la misión de liderar técnicamente la elaboración de los Inventarios Nacionales de GEI, que por primera vez en el país se entregan a nivel departamental, un avance significativo para orientar la toma de decisiones a nivel local respecto a la mitigación y el avance hacia territorios resiliente bajos en carbono. Este inventario nacional (serie completa 1990-2012) ha sido sometido a un riguroso proceso de aseguramiento de calidad, por parte de prestigiosas instituciones internacionales como la Agencia de Protección del Medio Ambiente de los Estados Unidos (EPA) y la Organización de las Naciones Unidas para la Alimentación y la Agricultura (FAO - Roma). Estoy","author":[{"dropping-particle":"","family":"IDEAM","given":"","non-dropping-particle":"","parse-names":false,"suffix":""},{"dropping-particle":"","family":"PNUD","given":"","non-dropping-particle":"","parse-names":false,"suffix":""},{"dropping-particle":"","family":"MADS","given":"","non-dropping-particle":"","parse-names":false,"suffix":""},{"dropping-particle":"","family":"DNP","given":"","non-dropping-particle":"","parse-names":false,"suffix":""},{"dropping-particle":"","family":"CANCILLERÍA","given":"","non-dropping-particle":"","parse-names":false,"suffix":""},{"dropping-particle":"","family":"FMAM","given":"","non-dropping-particle":"","parse-names":false,"suffix":""}],"id":"ITEM-1","issued":{"date-parts":[["2016"]]},"number-of-pages":"73","publisher-place":"Bogotá D.C., Colombia.","title":"Inventario Nacional y Departamental de Gases Efecto Invernadero - Colombia. Tercera Comunicación Nacional de Cambio Climático.","type":"book"},"uris":["http://www.mendeley.com/documents/?uuid=b0e5405d-0b7f-460e-8cb8-894b5ebc7d7b"]},{"id":"ITEM-2","itemData":{"abstract":"An escalating body of epidemiologic and clinical research provides compelling evidence that exposure to fine particulate matter air pollution contributes to the development of cardiovascular disease and the triggering of acute cardiac events. There are 3 potential mediating pathways that have been implicated, including “systemic spillover,” autonomic imbalance, and circulating particulate matter constituents. Further support that the increased morbidity and mortality attributed to air pollution comes from studies demonstrating the adverse cardiovascular effects of even brief periods of exposure to secondhand smoke. Accordingly, persons with known or suspected cardiovascular disease, the elderly, diabetic patients, pregnant women, and those with pulmonary disease should be counseled to limit leisure-time outdoor activities when air pollution is high. Recognizing the insidious and pervasive nature of air pollution, and the associated odds ratios and population attributable fractions for this widely underappreciated chemical trigger of acute cardiovascular events, may serve to maximize the potential for cardiovascular risk reduction by addressing at least a portion of the 10%-25% incidence of coronary disease that is unexplained by traditional risk factors.","author":[{"dropping-particle":"","family":"Barry A. Franklin","given":"R. B.","non-dropping-particle":"","parse-names":false,"suffix":""}],"container-title":"Current Problems in Cardiology, 207-238.","id":"ITEM-2","issued":{"date-parts":[["2015"]]},"title":"Air pollution and Cardiovascular Disease","type":"article-journal"},"uris":["http://www.mendeley.com/documents/?uuid=88293137-92ef-4ebd-92f9-cd441754b6d9"]}],"mendeley":{"formattedCitation":"(Barry A. Franklin, 2015; IDEAM et al., 2016)","plainTextFormattedCitation":"(Barry A. Franklin, 2015; IDEAM et al., 2016)","previouslyFormattedCitation":"(Barry A. Franklin, 2015; IDEAM et al., 2016)"},"properties":{"noteIndex":0},"schema":"https://github.com/citation-style-language/schema/raw/master/csl-citation.json"}</w:instrText>
      </w:r>
      <w:r w:rsidR="005062ED" w:rsidRPr="004420A4">
        <w:rPr>
          <w:rFonts w:cstheme="minorHAnsi"/>
          <w:lang w:val="es-CO"/>
        </w:rPr>
        <w:fldChar w:fldCharType="separate"/>
      </w:r>
      <w:r w:rsidR="006F1F2E" w:rsidRPr="004420A4">
        <w:rPr>
          <w:rFonts w:cstheme="minorHAnsi"/>
          <w:noProof/>
          <w:lang w:val="es-CO"/>
        </w:rPr>
        <w:t>(Barry A. Franklin, 2015; IDEAM et al., 2016)</w:t>
      </w:r>
      <w:r w:rsidR="005062ED" w:rsidRPr="004420A4">
        <w:rPr>
          <w:rFonts w:cstheme="minorHAnsi"/>
          <w:lang w:val="es-CO"/>
        </w:rPr>
        <w:fldChar w:fldCharType="end"/>
      </w:r>
      <w:r w:rsidR="29356E70" w:rsidRPr="004420A4">
        <w:rPr>
          <w:rFonts w:cstheme="minorHAnsi"/>
          <w:lang w:val="es-CO"/>
        </w:rPr>
        <w:t>.</w:t>
      </w:r>
    </w:p>
    <w:p w14:paraId="7B8A34B5" w14:textId="1D245C69" w:rsidR="00F519D4" w:rsidRPr="004420A4" w:rsidRDefault="00373316" w:rsidP="004420A4">
      <w:pPr>
        <w:pStyle w:val="Ttulo1"/>
        <w:numPr>
          <w:ilvl w:val="0"/>
          <w:numId w:val="1"/>
        </w:numPr>
        <w:spacing w:before="120" w:after="120"/>
        <w:ind w:left="714" w:hanging="357"/>
        <w:rPr>
          <w:rFonts w:asciiTheme="minorHAnsi" w:hAnsiTheme="minorHAnsi" w:cstheme="minorHAnsi"/>
          <w:b/>
          <w:bCs/>
          <w:sz w:val="24"/>
          <w:szCs w:val="24"/>
          <w:lang w:val="es-CO"/>
        </w:rPr>
      </w:pPr>
      <w:r w:rsidRPr="004420A4">
        <w:rPr>
          <w:rFonts w:asciiTheme="minorHAnsi" w:hAnsiTheme="minorHAnsi" w:cstheme="minorHAnsi"/>
          <w:b/>
          <w:bCs/>
          <w:sz w:val="24"/>
          <w:szCs w:val="24"/>
          <w:lang w:val="es-CO"/>
        </w:rPr>
        <w:t>MATERIALES Y MÉTODOS</w:t>
      </w:r>
      <w:r w:rsidRPr="004420A4">
        <w:rPr>
          <w:rFonts w:asciiTheme="minorHAnsi" w:hAnsiTheme="minorHAnsi" w:cstheme="minorHAnsi"/>
          <w:sz w:val="24"/>
          <w:szCs w:val="24"/>
          <w:lang w:val="es-CO"/>
        </w:rPr>
        <w:t xml:space="preserve"> (</w:t>
      </w:r>
      <w:r w:rsidR="00D80C3F" w:rsidRPr="004420A4">
        <w:rPr>
          <w:rFonts w:asciiTheme="minorHAnsi" w:hAnsiTheme="minorHAnsi" w:cstheme="minorHAnsi"/>
          <w:i/>
          <w:iCs/>
          <w:sz w:val="20"/>
          <w:szCs w:val="20"/>
          <w:lang w:val="es-CO"/>
        </w:rPr>
        <w:t>Subtítulo en fuente C</w:t>
      </w:r>
      <w:r w:rsidR="00ED31B1" w:rsidRPr="004420A4">
        <w:rPr>
          <w:rFonts w:asciiTheme="minorHAnsi" w:hAnsiTheme="minorHAnsi" w:cstheme="minorHAnsi"/>
          <w:i/>
          <w:iCs/>
          <w:sz w:val="20"/>
          <w:szCs w:val="20"/>
          <w:lang w:val="es-CO"/>
        </w:rPr>
        <w:t>alibri</w:t>
      </w:r>
      <w:r w:rsidR="00A67BBB" w:rsidRPr="004420A4">
        <w:rPr>
          <w:rFonts w:asciiTheme="minorHAnsi" w:hAnsiTheme="minorHAnsi" w:cstheme="minorHAnsi"/>
          <w:i/>
          <w:iCs/>
          <w:sz w:val="20"/>
          <w:szCs w:val="20"/>
          <w:lang w:val="es-CO"/>
        </w:rPr>
        <w:t>, tamaño</w:t>
      </w:r>
      <w:r w:rsidR="00D80C3F" w:rsidRPr="004420A4">
        <w:rPr>
          <w:rFonts w:asciiTheme="minorHAnsi" w:hAnsiTheme="minorHAnsi" w:cstheme="minorHAnsi"/>
          <w:i/>
          <w:iCs/>
          <w:sz w:val="20"/>
          <w:szCs w:val="20"/>
          <w:lang w:val="es-CO"/>
        </w:rPr>
        <w:t xml:space="preserve"> </w:t>
      </w:r>
      <w:r w:rsidR="00A67BBB" w:rsidRPr="004420A4">
        <w:rPr>
          <w:rFonts w:asciiTheme="minorHAnsi" w:hAnsiTheme="minorHAnsi" w:cstheme="minorHAnsi"/>
          <w:i/>
          <w:iCs/>
          <w:sz w:val="20"/>
          <w:szCs w:val="20"/>
          <w:lang w:val="es-CO"/>
        </w:rPr>
        <w:t>12, negrilla)</w:t>
      </w:r>
    </w:p>
    <w:p w14:paraId="03FBF216" w14:textId="1AE41974" w:rsidR="00F519D4" w:rsidRPr="00F238A6" w:rsidRDefault="00F519D4" w:rsidP="00D22F1C">
      <w:pPr>
        <w:spacing w:before="120" w:after="120" w:line="240" w:lineRule="auto"/>
        <w:jc w:val="both"/>
        <w:rPr>
          <w:rFonts w:cstheme="minorHAnsi"/>
          <w:lang w:val="es-CO"/>
        </w:rPr>
      </w:pPr>
      <w:r w:rsidRPr="00F238A6">
        <w:rPr>
          <w:rFonts w:cstheme="minorHAnsi"/>
          <w:lang w:val="es-CO"/>
        </w:rPr>
        <w:t>Todos los materiales y métodos usados en el trabajo deben ser mencionados y con subtítulos en caso de ser necesario.</w:t>
      </w:r>
      <w:r w:rsidR="008C6B12" w:rsidRPr="00F238A6">
        <w:rPr>
          <w:rFonts w:cstheme="minorHAnsi"/>
          <w:lang w:val="es-CO"/>
        </w:rPr>
        <w:t xml:space="preserve"> </w:t>
      </w:r>
      <w:r w:rsidR="00320477" w:rsidRPr="00F238A6">
        <w:rPr>
          <w:rFonts w:cstheme="minorHAnsi"/>
          <w:lang w:val="es-CO"/>
        </w:rPr>
        <w:t>Esta sección deberá tener un máximo de 700 palabras.</w:t>
      </w:r>
    </w:p>
    <w:p w14:paraId="411F035A" w14:textId="70DC5CF7" w:rsidR="00F519D4" w:rsidRPr="00F238A6" w:rsidRDefault="00373316" w:rsidP="00D22F1C">
      <w:pPr>
        <w:pStyle w:val="Ttulo2"/>
        <w:spacing w:before="120" w:after="120"/>
        <w:ind w:firstLine="425"/>
        <w:rPr>
          <w:rFonts w:asciiTheme="minorHAnsi" w:hAnsiTheme="minorHAnsi" w:cstheme="minorHAnsi"/>
          <w:lang w:val="es-CO"/>
        </w:rPr>
      </w:pPr>
      <w:r w:rsidRPr="00F238A6">
        <w:rPr>
          <w:rFonts w:asciiTheme="minorHAnsi" w:hAnsiTheme="minorHAnsi" w:cstheme="minorHAnsi"/>
          <w:b/>
          <w:bCs/>
          <w:sz w:val="24"/>
          <w:szCs w:val="24"/>
          <w:lang w:val="es-CO"/>
        </w:rPr>
        <w:t xml:space="preserve">2.1 </w:t>
      </w:r>
      <w:r w:rsidR="00506651" w:rsidRPr="00F238A6">
        <w:rPr>
          <w:rFonts w:asciiTheme="minorHAnsi" w:hAnsiTheme="minorHAnsi" w:cstheme="minorHAnsi"/>
          <w:b/>
          <w:bCs/>
          <w:sz w:val="24"/>
          <w:szCs w:val="24"/>
          <w:lang w:val="es-CO"/>
        </w:rPr>
        <w:t>S</w:t>
      </w:r>
      <w:r w:rsidR="00F519D4" w:rsidRPr="00F238A6">
        <w:rPr>
          <w:rFonts w:asciiTheme="minorHAnsi" w:hAnsiTheme="minorHAnsi" w:cstheme="minorHAnsi"/>
          <w:b/>
          <w:bCs/>
          <w:sz w:val="24"/>
          <w:szCs w:val="24"/>
          <w:lang w:val="es-CO"/>
        </w:rPr>
        <w:t>ubtítulo</w:t>
      </w:r>
      <w:r w:rsidRPr="00F238A6">
        <w:rPr>
          <w:rFonts w:asciiTheme="minorHAnsi" w:hAnsiTheme="minorHAnsi" w:cstheme="minorHAnsi"/>
          <w:b/>
          <w:bCs/>
          <w:sz w:val="24"/>
          <w:szCs w:val="24"/>
          <w:lang w:val="es-CO"/>
        </w:rPr>
        <w:t xml:space="preserve"> </w:t>
      </w:r>
    </w:p>
    <w:p w14:paraId="13DCEB02" w14:textId="17DFEEBF" w:rsidR="00A67BBB" w:rsidRPr="004420A4" w:rsidRDefault="00A67BBB" w:rsidP="00D22F1C">
      <w:pPr>
        <w:pStyle w:val="Ttulo1"/>
        <w:numPr>
          <w:ilvl w:val="0"/>
          <w:numId w:val="1"/>
        </w:numPr>
        <w:spacing w:before="120" w:after="120"/>
        <w:ind w:left="714" w:hanging="357"/>
        <w:rPr>
          <w:rFonts w:asciiTheme="minorHAnsi" w:hAnsiTheme="minorHAnsi" w:cstheme="minorHAnsi"/>
          <w:b/>
          <w:bCs/>
          <w:sz w:val="24"/>
          <w:szCs w:val="24"/>
          <w:lang w:val="es-CO"/>
        </w:rPr>
      </w:pPr>
      <w:r w:rsidRPr="004420A4">
        <w:rPr>
          <w:rFonts w:asciiTheme="minorHAnsi" w:hAnsiTheme="minorHAnsi" w:cstheme="minorHAnsi"/>
          <w:b/>
          <w:bCs/>
          <w:sz w:val="24"/>
          <w:szCs w:val="24"/>
          <w:lang w:val="es-CO"/>
        </w:rPr>
        <w:t xml:space="preserve">RESULTADOS Y DISCUSIÓN </w:t>
      </w:r>
      <w:r w:rsidR="00D80C3F" w:rsidRPr="004420A4">
        <w:rPr>
          <w:rFonts w:asciiTheme="minorHAnsi" w:hAnsiTheme="minorHAnsi" w:cstheme="minorHAnsi"/>
          <w:sz w:val="24"/>
          <w:szCs w:val="24"/>
          <w:lang w:val="es-CO"/>
        </w:rPr>
        <w:t>(</w:t>
      </w:r>
      <w:r w:rsidR="00D80C3F" w:rsidRPr="004420A4">
        <w:rPr>
          <w:rFonts w:asciiTheme="minorHAnsi" w:hAnsiTheme="minorHAnsi" w:cstheme="minorHAnsi"/>
          <w:i/>
          <w:iCs/>
          <w:sz w:val="20"/>
          <w:szCs w:val="20"/>
          <w:lang w:val="es-CO"/>
        </w:rPr>
        <w:t>Subtítulo en fuente Calibri, tamaño 12, negrilla)</w:t>
      </w:r>
      <w:r w:rsidR="00D80C3F" w:rsidRPr="004420A4" w:rsidDel="00D80C3F">
        <w:rPr>
          <w:rFonts w:asciiTheme="minorHAnsi" w:hAnsiTheme="minorHAnsi" w:cstheme="minorHAnsi"/>
          <w:sz w:val="20"/>
          <w:szCs w:val="20"/>
          <w:lang w:val="es-CO"/>
        </w:rPr>
        <w:t xml:space="preserve"> </w:t>
      </w:r>
    </w:p>
    <w:p w14:paraId="7793FFBE" w14:textId="240CFEDB" w:rsidR="00373316" w:rsidRPr="00F238A6" w:rsidRDefault="00373316" w:rsidP="00D22F1C">
      <w:pPr>
        <w:pStyle w:val="Ttulo2"/>
        <w:spacing w:before="120" w:after="120"/>
        <w:ind w:firstLine="425"/>
        <w:rPr>
          <w:rFonts w:asciiTheme="minorHAnsi" w:hAnsiTheme="minorHAnsi" w:cstheme="minorHAnsi"/>
          <w:lang w:val="es-CO"/>
        </w:rPr>
      </w:pPr>
      <w:r w:rsidRPr="00F238A6">
        <w:rPr>
          <w:rFonts w:asciiTheme="minorHAnsi" w:hAnsiTheme="minorHAnsi" w:cstheme="minorHAnsi"/>
          <w:b/>
          <w:bCs/>
          <w:sz w:val="24"/>
          <w:szCs w:val="24"/>
          <w:lang w:val="es-CO"/>
        </w:rPr>
        <w:t xml:space="preserve">3.1 Subtítulo </w:t>
      </w:r>
    </w:p>
    <w:p w14:paraId="2765A2BC" w14:textId="76405711" w:rsidR="00F519D4" w:rsidRPr="00F238A6" w:rsidRDefault="00F519D4" w:rsidP="001A7995">
      <w:pPr>
        <w:spacing w:before="120" w:after="120" w:line="240" w:lineRule="auto"/>
        <w:jc w:val="both"/>
        <w:rPr>
          <w:rFonts w:cstheme="minorHAnsi"/>
          <w:lang w:val="es-CO"/>
        </w:rPr>
      </w:pPr>
      <w:r w:rsidRPr="00F238A6">
        <w:rPr>
          <w:rFonts w:cstheme="minorHAnsi"/>
          <w:lang w:val="es-CO"/>
        </w:rPr>
        <w:t xml:space="preserve">Todas las tablas y figuras deben estar centradas. </w:t>
      </w:r>
      <w:r w:rsidR="001A7995">
        <w:rPr>
          <w:rFonts w:cstheme="minorHAnsi"/>
          <w:lang w:val="es-CO"/>
        </w:rPr>
        <w:t>Las figuras pueden diseñarse a color y cada una debe numerarse</w:t>
      </w:r>
      <w:r w:rsidRPr="00F238A6">
        <w:rPr>
          <w:rFonts w:cstheme="minorHAnsi"/>
          <w:lang w:val="es-CO"/>
        </w:rPr>
        <w:t xml:space="preserve"> </w:t>
      </w:r>
      <w:r w:rsidR="001A7995">
        <w:rPr>
          <w:rFonts w:cstheme="minorHAnsi"/>
          <w:lang w:val="es-CO"/>
        </w:rPr>
        <w:t xml:space="preserve">y su </w:t>
      </w:r>
      <w:r w:rsidR="00B20B6B" w:rsidRPr="00F238A6">
        <w:rPr>
          <w:rFonts w:cstheme="minorHAnsi"/>
          <w:lang w:val="es-CO"/>
        </w:rPr>
        <w:t>título se ubica</w:t>
      </w:r>
      <w:r w:rsidR="001A7995">
        <w:rPr>
          <w:rFonts w:cstheme="minorHAnsi"/>
          <w:lang w:val="es-CO"/>
        </w:rPr>
        <w:t>rá</w:t>
      </w:r>
      <w:r w:rsidR="00B20B6B" w:rsidRPr="00F238A6">
        <w:rPr>
          <w:rFonts w:cstheme="minorHAnsi"/>
          <w:lang w:val="es-CO"/>
        </w:rPr>
        <w:t xml:space="preserve"> debajo </w:t>
      </w:r>
      <w:r w:rsidRPr="00F238A6">
        <w:rPr>
          <w:rFonts w:cstheme="minorHAnsi"/>
          <w:lang w:val="es-CO"/>
        </w:rPr>
        <w:t xml:space="preserve">de la </w:t>
      </w:r>
      <w:r w:rsidR="0080776A">
        <w:rPr>
          <w:rFonts w:cstheme="minorHAnsi"/>
          <w:lang w:val="es-CO"/>
        </w:rPr>
        <w:t xml:space="preserve">misma </w:t>
      </w:r>
      <w:r w:rsidR="001A7995" w:rsidRPr="00F238A6">
        <w:rPr>
          <w:rFonts w:cstheme="minorHAnsi"/>
          <w:lang w:val="es-CO"/>
        </w:rPr>
        <w:t>(Figura 1)</w:t>
      </w:r>
      <w:r w:rsidR="009220B2" w:rsidRPr="00F238A6">
        <w:rPr>
          <w:rFonts w:cstheme="minorHAnsi"/>
          <w:lang w:val="es-CO"/>
        </w:rPr>
        <w:t>.</w:t>
      </w:r>
      <w:r w:rsidRPr="00F238A6">
        <w:rPr>
          <w:rFonts w:cstheme="minorHAnsi"/>
          <w:lang w:val="es-CO"/>
        </w:rPr>
        <w:t xml:space="preserve"> </w:t>
      </w:r>
      <w:r w:rsidR="001A7995">
        <w:rPr>
          <w:rFonts w:cstheme="minorHAnsi"/>
          <w:lang w:val="es-CO"/>
        </w:rPr>
        <w:t>Cada tabla debe numerarse</w:t>
      </w:r>
      <w:r w:rsidR="009F5E74">
        <w:rPr>
          <w:rFonts w:cstheme="minorHAnsi"/>
          <w:lang w:val="es-CO"/>
        </w:rPr>
        <w:t xml:space="preserve"> y</w:t>
      </w:r>
      <w:r w:rsidR="0080776A">
        <w:rPr>
          <w:rFonts w:cstheme="minorHAnsi"/>
          <w:lang w:val="es-CO"/>
        </w:rPr>
        <w:t xml:space="preserve"> </w:t>
      </w:r>
      <w:r w:rsidR="001A7995">
        <w:rPr>
          <w:rFonts w:cstheme="minorHAnsi"/>
          <w:lang w:val="es-CO"/>
        </w:rPr>
        <w:t>su título se ubica</w:t>
      </w:r>
      <w:r w:rsidR="0080776A">
        <w:rPr>
          <w:rFonts w:cstheme="minorHAnsi"/>
          <w:lang w:val="es-CO"/>
        </w:rPr>
        <w:t>rá</w:t>
      </w:r>
      <w:r w:rsidR="001A7995">
        <w:rPr>
          <w:rFonts w:cstheme="minorHAnsi"/>
          <w:lang w:val="es-CO"/>
        </w:rPr>
        <w:t xml:space="preserve"> sobre la </w:t>
      </w:r>
      <w:r w:rsidR="000426AA">
        <w:rPr>
          <w:rFonts w:cstheme="minorHAnsi"/>
          <w:lang w:val="es-CO"/>
        </w:rPr>
        <w:t>misma (</w:t>
      </w:r>
      <w:r w:rsidR="009F5E74" w:rsidRPr="009F5E74">
        <w:rPr>
          <w:rFonts w:cstheme="minorHAnsi"/>
          <w:lang w:val="es-CO"/>
        </w:rPr>
        <w:t>Tabla 1).</w:t>
      </w:r>
      <w:r w:rsidR="009F5E74">
        <w:rPr>
          <w:rFonts w:cstheme="minorHAnsi"/>
          <w:lang w:val="es-CO"/>
        </w:rPr>
        <w:t xml:space="preserve"> </w:t>
      </w:r>
      <w:r w:rsidR="001A7995">
        <w:rPr>
          <w:rFonts w:cstheme="minorHAnsi"/>
          <w:lang w:val="es-CO"/>
        </w:rPr>
        <w:t xml:space="preserve"> Todos los títulos de figuras y tablas</w:t>
      </w:r>
      <w:r w:rsidR="009F5E74">
        <w:rPr>
          <w:rFonts w:cstheme="minorHAnsi"/>
          <w:lang w:val="es-CO"/>
        </w:rPr>
        <w:t xml:space="preserve"> (así como </w:t>
      </w:r>
      <w:r w:rsidR="000C5B5B">
        <w:rPr>
          <w:rFonts w:cstheme="minorHAnsi"/>
          <w:lang w:val="es-CO"/>
        </w:rPr>
        <w:t>el contenido de las tablas</w:t>
      </w:r>
      <w:r w:rsidR="009F5E74">
        <w:rPr>
          <w:rFonts w:cstheme="minorHAnsi"/>
          <w:lang w:val="es-CO"/>
        </w:rPr>
        <w:t>)</w:t>
      </w:r>
      <w:r w:rsidR="001A7995" w:rsidRPr="001A7995">
        <w:rPr>
          <w:rFonts w:cstheme="minorHAnsi"/>
          <w:lang w:val="es-CO"/>
        </w:rPr>
        <w:t xml:space="preserve"> </w:t>
      </w:r>
      <w:r w:rsidR="001A7995">
        <w:rPr>
          <w:rFonts w:cstheme="minorHAnsi"/>
          <w:lang w:val="es-CO"/>
        </w:rPr>
        <w:t xml:space="preserve">se deben </w:t>
      </w:r>
      <w:r w:rsidR="00D34DFE">
        <w:rPr>
          <w:rFonts w:cstheme="minorHAnsi"/>
          <w:lang w:val="es-CO"/>
        </w:rPr>
        <w:t xml:space="preserve">redactar </w:t>
      </w:r>
      <w:r w:rsidR="001A7995">
        <w:rPr>
          <w:rFonts w:cstheme="minorHAnsi"/>
          <w:lang w:val="es-CO"/>
        </w:rPr>
        <w:t xml:space="preserve">con fuente </w:t>
      </w:r>
      <w:r w:rsidR="001A7995" w:rsidRPr="001A7995">
        <w:rPr>
          <w:rFonts w:cstheme="minorHAnsi"/>
          <w:lang w:val="es-CO"/>
        </w:rPr>
        <w:t>Calibri tamaño 10</w:t>
      </w:r>
      <w:r w:rsidR="001A7995">
        <w:rPr>
          <w:rFonts w:cstheme="minorHAnsi"/>
          <w:lang w:val="es-CO"/>
        </w:rPr>
        <w:t xml:space="preserve">. </w:t>
      </w:r>
      <w:r w:rsidRPr="00F238A6">
        <w:rPr>
          <w:rFonts w:cstheme="minorHAnsi"/>
          <w:lang w:val="es-CO"/>
        </w:rPr>
        <w:t xml:space="preserve">Las referencias de las </w:t>
      </w:r>
      <w:r w:rsidR="009220B2" w:rsidRPr="00F238A6">
        <w:rPr>
          <w:rFonts w:cstheme="minorHAnsi"/>
          <w:lang w:val="es-CO"/>
        </w:rPr>
        <w:t>figuras y tablas</w:t>
      </w:r>
      <w:r w:rsidRPr="00F238A6">
        <w:rPr>
          <w:rFonts w:cstheme="minorHAnsi"/>
          <w:lang w:val="es-CO"/>
        </w:rPr>
        <w:t xml:space="preserve"> </w:t>
      </w:r>
      <w:r w:rsidR="00B4054F" w:rsidRPr="00F238A6">
        <w:rPr>
          <w:rFonts w:cstheme="minorHAnsi"/>
          <w:lang w:val="es-CO"/>
        </w:rPr>
        <w:t>(</w:t>
      </w:r>
      <w:r w:rsidR="004420A4">
        <w:rPr>
          <w:rFonts w:cstheme="minorHAnsi"/>
          <w:lang w:val="es-CO"/>
        </w:rPr>
        <w:t>cuando aplique</w:t>
      </w:r>
      <w:r w:rsidR="001A7995">
        <w:rPr>
          <w:rFonts w:cstheme="minorHAnsi"/>
          <w:lang w:val="es-CO"/>
        </w:rPr>
        <w:t>n</w:t>
      </w:r>
      <w:r w:rsidR="00B4054F" w:rsidRPr="00F238A6">
        <w:rPr>
          <w:rFonts w:cstheme="minorHAnsi"/>
          <w:lang w:val="es-CO"/>
        </w:rPr>
        <w:t xml:space="preserve">) </w:t>
      </w:r>
      <w:r w:rsidRPr="00F238A6">
        <w:rPr>
          <w:rFonts w:cstheme="minorHAnsi"/>
          <w:lang w:val="es-CO"/>
        </w:rPr>
        <w:t xml:space="preserve">deben presentarse justo debajo de las </w:t>
      </w:r>
      <w:r w:rsidR="009220B2" w:rsidRPr="00F238A6">
        <w:rPr>
          <w:rFonts w:cstheme="minorHAnsi"/>
          <w:lang w:val="es-CO"/>
        </w:rPr>
        <w:t xml:space="preserve">mismas en formato APA </w:t>
      </w:r>
      <w:r w:rsidR="001A7995">
        <w:rPr>
          <w:rFonts w:cstheme="minorHAnsi"/>
          <w:lang w:val="es-CO"/>
        </w:rPr>
        <w:t>sépti</w:t>
      </w:r>
      <w:r w:rsidR="00C41354" w:rsidRPr="00F238A6">
        <w:rPr>
          <w:rFonts w:cstheme="minorHAnsi"/>
          <w:lang w:val="es-CO"/>
        </w:rPr>
        <w:t>ma edición</w:t>
      </w:r>
      <w:r w:rsidR="009F5E74">
        <w:rPr>
          <w:rFonts w:cstheme="minorHAnsi"/>
          <w:lang w:val="es-CO"/>
        </w:rPr>
        <w:t xml:space="preserve">. </w:t>
      </w:r>
      <w:r w:rsidR="00373316" w:rsidRPr="00F238A6">
        <w:rPr>
          <w:rFonts w:cstheme="minorHAnsi"/>
          <w:lang w:val="es-CO"/>
        </w:rPr>
        <w:t>La sección de resultados y discusión debe cerrarse con una conclusión incorporando los hallazgos más importantes.</w:t>
      </w:r>
    </w:p>
    <w:p w14:paraId="7FFC2842" w14:textId="6D04A093" w:rsidR="009220B2" w:rsidRPr="00F238A6" w:rsidRDefault="00704B46" w:rsidP="009220B2">
      <w:pPr>
        <w:spacing w:after="0" w:line="240" w:lineRule="auto"/>
        <w:jc w:val="center"/>
        <w:rPr>
          <w:rFonts w:cstheme="minorHAnsi"/>
          <w:sz w:val="24"/>
          <w:szCs w:val="24"/>
          <w:lang w:val="es-CO"/>
        </w:rPr>
      </w:pPr>
      <w:r w:rsidRPr="00F238A6">
        <w:rPr>
          <w:rFonts w:cstheme="minorHAnsi"/>
          <w:noProof/>
          <w:sz w:val="24"/>
          <w:szCs w:val="24"/>
          <w:lang w:val="es-CO"/>
        </w:rPr>
        <w:drawing>
          <wp:inline distT="0" distB="0" distL="0" distR="0" wp14:anchorId="65910DFA" wp14:editId="0B2036DB">
            <wp:extent cx="3945872" cy="2471651"/>
            <wp:effectExtent l="0" t="0" r="0" b="5080"/>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8035" cy="2498061"/>
                    </a:xfrm>
                    <a:prstGeom prst="rect">
                      <a:avLst/>
                    </a:prstGeom>
                  </pic:spPr>
                </pic:pic>
              </a:graphicData>
            </a:graphic>
          </wp:inline>
        </w:drawing>
      </w:r>
    </w:p>
    <w:p w14:paraId="24A52D25" w14:textId="3332675B" w:rsidR="00A440F9" w:rsidRPr="00F238A6" w:rsidRDefault="29356E70" w:rsidP="00D22F1C">
      <w:pPr>
        <w:spacing w:before="120" w:after="120" w:line="240" w:lineRule="auto"/>
        <w:jc w:val="center"/>
        <w:rPr>
          <w:rFonts w:cstheme="minorHAnsi"/>
          <w:sz w:val="20"/>
          <w:szCs w:val="20"/>
          <w:lang w:val="es-CO"/>
        </w:rPr>
      </w:pPr>
      <w:r w:rsidRPr="00F238A6">
        <w:rPr>
          <w:rFonts w:cstheme="minorHAnsi"/>
          <w:sz w:val="20"/>
          <w:szCs w:val="20"/>
          <w:lang w:val="es-CO"/>
        </w:rPr>
        <w:t>Figura 1</w:t>
      </w:r>
      <w:r w:rsidR="00704B46" w:rsidRPr="00F238A6">
        <w:rPr>
          <w:rFonts w:cstheme="minorHAnsi"/>
          <w:sz w:val="20"/>
          <w:szCs w:val="20"/>
          <w:lang w:val="es-CO"/>
        </w:rPr>
        <w:t>. Proyección de emisiones</w:t>
      </w:r>
      <w:r w:rsidR="00163F9F" w:rsidRPr="00F238A6">
        <w:rPr>
          <w:rFonts w:cstheme="minorHAnsi"/>
          <w:sz w:val="20"/>
          <w:szCs w:val="20"/>
          <w:lang w:val="es-CO"/>
        </w:rPr>
        <w:t xml:space="preserve"> de</w:t>
      </w:r>
      <w:r w:rsidR="00704B46" w:rsidRPr="00F238A6">
        <w:rPr>
          <w:rFonts w:cstheme="minorHAnsi"/>
          <w:sz w:val="20"/>
          <w:szCs w:val="20"/>
          <w:lang w:val="es-CO"/>
        </w:rPr>
        <w:t xml:space="preserve"> PM2</w:t>
      </w:r>
      <w:r w:rsidR="006E68CF">
        <w:rPr>
          <w:rFonts w:cstheme="minorHAnsi"/>
          <w:sz w:val="20"/>
          <w:szCs w:val="20"/>
          <w:lang w:val="es-CO"/>
        </w:rPr>
        <w:t>,</w:t>
      </w:r>
      <w:r w:rsidR="00704B46" w:rsidRPr="00F238A6">
        <w:rPr>
          <w:rFonts w:cstheme="minorHAnsi"/>
          <w:sz w:val="20"/>
          <w:szCs w:val="20"/>
          <w:lang w:val="es-CO"/>
        </w:rPr>
        <w:t xml:space="preserve">5 al 2030. </w:t>
      </w:r>
    </w:p>
    <w:p w14:paraId="4492024D" w14:textId="16F4ED73" w:rsidR="00A440F9" w:rsidRPr="00F238A6" w:rsidRDefault="00A440F9" w:rsidP="00D22F1C">
      <w:pPr>
        <w:spacing w:before="120" w:after="120" w:line="240" w:lineRule="auto"/>
        <w:jc w:val="center"/>
        <w:rPr>
          <w:rFonts w:cstheme="minorHAnsi"/>
          <w:sz w:val="20"/>
          <w:szCs w:val="20"/>
          <w:lang w:val="es-CO"/>
        </w:rPr>
      </w:pPr>
      <w:r w:rsidRPr="00F238A6">
        <w:rPr>
          <w:rFonts w:cstheme="minorHAnsi"/>
          <w:sz w:val="20"/>
          <w:szCs w:val="20"/>
          <w:lang w:val="es-CO"/>
        </w:rPr>
        <w:t xml:space="preserve">Fuente: </w:t>
      </w:r>
      <w:r w:rsidRPr="00F238A6">
        <w:rPr>
          <w:rFonts w:cstheme="minorHAnsi"/>
          <w:sz w:val="20"/>
          <w:szCs w:val="20"/>
          <w:lang w:val="es-CO"/>
        </w:rPr>
        <w:fldChar w:fldCharType="begin" w:fldLock="1"/>
      </w:r>
      <w:r w:rsidR="00CC194D" w:rsidRPr="00F238A6">
        <w:rPr>
          <w:rFonts w:cstheme="minorHAnsi"/>
          <w:sz w:val="20"/>
          <w:szCs w:val="20"/>
          <w:lang w:val="es-CO"/>
        </w:rPr>
        <w:instrText>ADDIN CSL_CITATION {"citationItems":[{"id":"ITEM-1","itemData":{"DOI":"10.4067/S0718-33052016000500005","ISSN":"07183305","abstract":"Determining emissions from mobile sources is complex considering that the sources travel through the area of interest under different operating regimes and with different technologies. This research analyzes the information available in public institutions in Chile with the aim of creating an inventory of representative, upgradeable and dynamic emissions. Regarding the growth of the fleet, the main indicator is the motorization rate, which by 2012 exceeded 207 vehicles per thousand inhabitants, far from rates in developed countries, between 400 and 600 vehicles per thousand inhabitants, so the growth trend of the automotive fleet in Chile will be maintained. Currently in Chile there isn’t a formal basis for emission factors from motor vehicles, however, the Ministry of Transport and Communications regulates the entry of vehicles through the Vehicle Control and Certification Center (3CV). The center determined through direct measurement emissions of each of the models entering the country confirming that the emission standard established by the regulations is met. As a result of this work, an emissions inventory of Mobile Sources with local information for emissions projecting, as a complement to traditional models as MODEM was obtained. The projected emissions in 2030 shows a reduction of 76% for particulate matter 2.5 microns, a reduction of 53% in nitrogen oxides and an increase of 193% carbon dioxide in relation to 2008.","author":[{"dropping-particle":"","family":"Caro","given":"Sebastián Tolvett","non-dropping-particle":"","parse-names":false,"suffix":""},{"dropping-particle":"","family":"Henríquez","given":"Pilar","non-dropping-particle":"","parse-names":false,"suffix":""},{"dropping-particle":"","family":"Osses","given":"Mauricio","non-dropping-particle":"","parse-names":false,"suffix":""}],"container-title":"Ingeniare","id":"ITEM-1","issued":{"date-parts":[["2016"]]},"page":"32-39","publisher":"Universidad de Tarapaca","title":"Análisis de variables significativas para la generación de un inventario de emisiones de fuentes móviles y su proyección","type":"article-journal","volume":"24"},"uris":["http://www.mendeley.com/documents/?uuid=1790f6d6-32d8-3363-9b96-d4a5a0592876"]}],"mendeley":{"formattedCitation":"(Caro et al., 2016)","plainTextFormattedCitation":"(Caro et al., 2016)","previouslyFormattedCitation":"(Caro et al., 2016)"},"properties":{"noteIndex":0},"schema":"https://github.com/citation-style-language/schema/raw/master/csl-citation.json"}</w:instrText>
      </w:r>
      <w:r w:rsidRPr="00F238A6">
        <w:rPr>
          <w:rFonts w:cstheme="minorHAnsi"/>
          <w:sz w:val="20"/>
          <w:szCs w:val="20"/>
          <w:lang w:val="es-CO"/>
        </w:rPr>
        <w:fldChar w:fldCharType="separate"/>
      </w:r>
      <w:r w:rsidRPr="00F238A6">
        <w:rPr>
          <w:rFonts w:cstheme="minorHAnsi"/>
          <w:noProof/>
          <w:sz w:val="20"/>
          <w:szCs w:val="20"/>
          <w:lang w:val="es-CO"/>
        </w:rPr>
        <w:t>(Caro et al., 2016)</w:t>
      </w:r>
      <w:r w:rsidRPr="00F238A6">
        <w:rPr>
          <w:rFonts w:cstheme="minorHAnsi"/>
          <w:sz w:val="20"/>
          <w:szCs w:val="20"/>
          <w:lang w:val="es-CO"/>
        </w:rPr>
        <w:fldChar w:fldCharType="end"/>
      </w:r>
      <w:r w:rsidR="006E68CF">
        <w:rPr>
          <w:rFonts w:cstheme="minorHAnsi"/>
          <w:sz w:val="20"/>
          <w:szCs w:val="20"/>
          <w:lang w:val="es-CO"/>
        </w:rPr>
        <w:t>.</w:t>
      </w:r>
    </w:p>
    <w:p w14:paraId="23E3B383" w14:textId="59A906B1" w:rsidR="00C0683D" w:rsidRPr="00F238A6" w:rsidRDefault="009220B2" w:rsidP="00D22F1C">
      <w:pPr>
        <w:spacing w:before="120" w:after="120" w:line="240" w:lineRule="auto"/>
        <w:jc w:val="center"/>
        <w:rPr>
          <w:rFonts w:cstheme="minorHAnsi"/>
          <w:sz w:val="20"/>
          <w:szCs w:val="20"/>
          <w:lang w:val="es-CO"/>
        </w:rPr>
      </w:pPr>
      <w:r w:rsidRPr="00F238A6">
        <w:rPr>
          <w:rFonts w:cstheme="minorHAnsi"/>
          <w:sz w:val="20"/>
          <w:szCs w:val="20"/>
          <w:lang w:val="es-CO"/>
        </w:rPr>
        <w:lastRenderedPageBreak/>
        <w:t xml:space="preserve">Tabla 1. </w:t>
      </w:r>
      <w:r w:rsidR="003D1C6B" w:rsidRPr="00F238A6">
        <w:rPr>
          <w:rFonts w:cstheme="minorHAnsi"/>
          <w:sz w:val="20"/>
          <w:szCs w:val="20"/>
          <w:lang w:val="es-CO"/>
        </w:rPr>
        <w:t xml:space="preserve">Resumen de emisiones </w:t>
      </w:r>
      <w:proofErr w:type="spellStart"/>
      <w:r w:rsidR="003D1C6B" w:rsidRPr="00F238A6">
        <w:rPr>
          <w:rFonts w:cstheme="minorHAnsi"/>
          <w:sz w:val="20"/>
          <w:szCs w:val="20"/>
          <w:lang w:val="es-CO"/>
        </w:rPr>
        <w:t>NOx</w:t>
      </w:r>
      <w:proofErr w:type="spellEnd"/>
      <w:r w:rsidR="003D1C6B" w:rsidRPr="00F238A6">
        <w:rPr>
          <w:rFonts w:cstheme="minorHAnsi"/>
          <w:sz w:val="20"/>
          <w:szCs w:val="20"/>
          <w:lang w:val="es-CO"/>
        </w:rPr>
        <w:t xml:space="preserve">. </w:t>
      </w:r>
    </w:p>
    <w:tbl>
      <w:tblPr>
        <w:tblW w:w="5000" w:type="pct"/>
        <w:tblCellMar>
          <w:left w:w="70" w:type="dxa"/>
          <w:right w:w="70" w:type="dxa"/>
        </w:tblCellMar>
        <w:tblLook w:val="04A0" w:firstRow="1" w:lastRow="0" w:firstColumn="1" w:lastColumn="0" w:noHBand="0" w:noVBand="1"/>
      </w:tblPr>
      <w:tblGrid>
        <w:gridCol w:w="1784"/>
        <w:gridCol w:w="2721"/>
        <w:gridCol w:w="1307"/>
        <w:gridCol w:w="1307"/>
        <w:gridCol w:w="1116"/>
        <w:gridCol w:w="1115"/>
      </w:tblGrid>
      <w:tr w:rsidR="00D9456A" w:rsidRPr="00F238A6" w14:paraId="2BC768C0" w14:textId="77777777" w:rsidTr="00D9456A">
        <w:trPr>
          <w:trHeight w:val="255"/>
        </w:trPr>
        <w:tc>
          <w:tcPr>
            <w:tcW w:w="5000" w:type="pct"/>
            <w:gridSpan w:val="6"/>
            <w:tcBorders>
              <w:top w:val="single" w:sz="4" w:space="0" w:color="231F20"/>
              <w:left w:val="single" w:sz="4" w:space="0" w:color="231F20"/>
              <w:bottom w:val="single" w:sz="4" w:space="0" w:color="231F20"/>
              <w:right w:val="single" w:sz="4" w:space="0" w:color="231F20"/>
            </w:tcBorders>
            <w:shd w:val="clear" w:color="auto" w:fill="auto"/>
            <w:hideMark/>
          </w:tcPr>
          <w:p w14:paraId="6B36AE3E"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proofErr w:type="spellStart"/>
            <w:r w:rsidRPr="00F238A6">
              <w:rPr>
                <w:rFonts w:eastAsia="Times New Roman" w:cstheme="minorHAnsi"/>
                <w:color w:val="231F20"/>
                <w:sz w:val="20"/>
                <w:szCs w:val="20"/>
                <w:lang w:val="es-CO" w:eastAsia="es-CO"/>
              </w:rPr>
              <w:t>NOx</w:t>
            </w:r>
            <w:proofErr w:type="spellEnd"/>
            <w:r w:rsidRPr="00F238A6">
              <w:rPr>
                <w:rFonts w:eastAsia="Times New Roman" w:cstheme="minorHAnsi"/>
                <w:color w:val="231F20"/>
                <w:sz w:val="20"/>
                <w:szCs w:val="20"/>
                <w:lang w:val="es-CO" w:eastAsia="es-CO"/>
              </w:rPr>
              <w:t xml:space="preserve"> (t/año)</w:t>
            </w:r>
          </w:p>
        </w:tc>
      </w:tr>
      <w:tr w:rsidR="00FD64F8" w:rsidRPr="00F238A6" w14:paraId="5083BB6D" w14:textId="77777777" w:rsidTr="00D9456A">
        <w:trPr>
          <w:trHeight w:val="255"/>
        </w:trPr>
        <w:tc>
          <w:tcPr>
            <w:tcW w:w="954" w:type="pct"/>
            <w:tcBorders>
              <w:top w:val="nil"/>
              <w:left w:val="single" w:sz="4" w:space="0" w:color="231F20"/>
              <w:bottom w:val="single" w:sz="4" w:space="0" w:color="231F20"/>
              <w:right w:val="single" w:sz="4" w:space="0" w:color="231F20"/>
            </w:tcBorders>
            <w:shd w:val="clear" w:color="auto" w:fill="auto"/>
            <w:hideMark/>
          </w:tcPr>
          <w:p w14:paraId="1C0A5AB4"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Categoría</w:t>
            </w:r>
          </w:p>
        </w:tc>
        <w:tc>
          <w:tcPr>
            <w:tcW w:w="1455" w:type="pct"/>
            <w:tcBorders>
              <w:top w:val="nil"/>
              <w:left w:val="nil"/>
              <w:bottom w:val="single" w:sz="4" w:space="0" w:color="231F20"/>
              <w:right w:val="single" w:sz="4" w:space="0" w:color="231F20"/>
            </w:tcBorders>
            <w:shd w:val="clear" w:color="auto" w:fill="auto"/>
            <w:hideMark/>
          </w:tcPr>
          <w:p w14:paraId="544673C5"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Subcategoría</w:t>
            </w:r>
          </w:p>
        </w:tc>
        <w:tc>
          <w:tcPr>
            <w:tcW w:w="699" w:type="pct"/>
            <w:tcBorders>
              <w:top w:val="nil"/>
              <w:left w:val="nil"/>
              <w:bottom w:val="single" w:sz="4" w:space="0" w:color="231F20"/>
              <w:right w:val="single" w:sz="4" w:space="0" w:color="231F20"/>
            </w:tcBorders>
            <w:shd w:val="clear" w:color="auto" w:fill="auto"/>
            <w:noWrap/>
            <w:hideMark/>
          </w:tcPr>
          <w:p w14:paraId="2DD4383D"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2010</w:t>
            </w:r>
          </w:p>
        </w:tc>
        <w:tc>
          <w:tcPr>
            <w:tcW w:w="699" w:type="pct"/>
            <w:tcBorders>
              <w:top w:val="nil"/>
              <w:left w:val="nil"/>
              <w:bottom w:val="single" w:sz="4" w:space="0" w:color="231F20"/>
              <w:right w:val="single" w:sz="4" w:space="0" w:color="231F20"/>
            </w:tcBorders>
            <w:shd w:val="clear" w:color="auto" w:fill="auto"/>
            <w:noWrap/>
            <w:hideMark/>
          </w:tcPr>
          <w:p w14:paraId="417E56AC"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2015</w:t>
            </w:r>
          </w:p>
        </w:tc>
        <w:tc>
          <w:tcPr>
            <w:tcW w:w="597" w:type="pct"/>
            <w:tcBorders>
              <w:top w:val="nil"/>
              <w:left w:val="nil"/>
              <w:bottom w:val="single" w:sz="4" w:space="0" w:color="231F20"/>
              <w:right w:val="nil"/>
            </w:tcBorders>
            <w:shd w:val="clear" w:color="auto" w:fill="auto"/>
            <w:noWrap/>
            <w:hideMark/>
          </w:tcPr>
          <w:p w14:paraId="26CFEE83"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2025</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11FDCBE5"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2030</w:t>
            </w:r>
          </w:p>
        </w:tc>
      </w:tr>
      <w:tr w:rsidR="00FD64F8" w:rsidRPr="00F238A6" w14:paraId="15E4B1F8" w14:textId="77777777" w:rsidTr="00D9456A">
        <w:trPr>
          <w:trHeight w:val="255"/>
        </w:trPr>
        <w:tc>
          <w:tcPr>
            <w:tcW w:w="954" w:type="pct"/>
            <w:vMerge w:val="restart"/>
            <w:tcBorders>
              <w:top w:val="nil"/>
              <w:left w:val="single" w:sz="4" w:space="0" w:color="231F20"/>
              <w:bottom w:val="single" w:sz="4" w:space="0" w:color="231F20"/>
              <w:right w:val="single" w:sz="4" w:space="0" w:color="231F20"/>
            </w:tcBorders>
            <w:shd w:val="clear" w:color="auto" w:fill="auto"/>
            <w:hideMark/>
          </w:tcPr>
          <w:p w14:paraId="68BA1704"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Livianos</w:t>
            </w:r>
          </w:p>
        </w:tc>
        <w:tc>
          <w:tcPr>
            <w:tcW w:w="1455" w:type="pct"/>
            <w:tcBorders>
              <w:top w:val="nil"/>
              <w:left w:val="nil"/>
              <w:bottom w:val="single" w:sz="4" w:space="0" w:color="231F20"/>
              <w:right w:val="single" w:sz="4" w:space="0" w:color="231F20"/>
            </w:tcBorders>
            <w:shd w:val="clear" w:color="auto" w:fill="auto"/>
            <w:hideMark/>
          </w:tcPr>
          <w:p w14:paraId="4611ED2A"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Gasolina</w:t>
            </w:r>
          </w:p>
        </w:tc>
        <w:tc>
          <w:tcPr>
            <w:tcW w:w="699" w:type="pct"/>
            <w:tcBorders>
              <w:top w:val="nil"/>
              <w:left w:val="nil"/>
              <w:bottom w:val="single" w:sz="4" w:space="0" w:color="231F20"/>
              <w:right w:val="single" w:sz="4" w:space="0" w:color="231F20"/>
            </w:tcBorders>
            <w:shd w:val="clear" w:color="auto" w:fill="auto"/>
            <w:noWrap/>
            <w:hideMark/>
          </w:tcPr>
          <w:p w14:paraId="38C42FA3"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12.856</w:t>
            </w:r>
          </w:p>
        </w:tc>
        <w:tc>
          <w:tcPr>
            <w:tcW w:w="699" w:type="pct"/>
            <w:tcBorders>
              <w:top w:val="nil"/>
              <w:left w:val="nil"/>
              <w:bottom w:val="single" w:sz="4" w:space="0" w:color="231F20"/>
              <w:right w:val="single" w:sz="4" w:space="0" w:color="231F20"/>
            </w:tcBorders>
            <w:shd w:val="clear" w:color="auto" w:fill="auto"/>
            <w:noWrap/>
            <w:hideMark/>
          </w:tcPr>
          <w:p w14:paraId="59644FB6"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6.765</w:t>
            </w:r>
          </w:p>
        </w:tc>
        <w:tc>
          <w:tcPr>
            <w:tcW w:w="597" w:type="pct"/>
            <w:tcBorders>
              <w:top w:val="nil"/>
              <w:left w:val="nil"/>
              <w:bottom w:val="single" w:sz="4" w:space="0" w:color="231F20"/>
              <w:right w:val="nil"/>
            </w:tcBorders>
            <w:shd w:val="clear" w:color="auto" w:fill="auto"/>
            <w:noWrap/>
            <w:hideMark/>
          </w:tcPr>
          <w:p w14:paraId="7852EE9A"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3.702</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209882F5"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4.581</w:t>
            </w:r>
          </w:p>
        </w:tc>
      </w:tr>
      <w:tr w:rsidR="00D9456A" w:rsidRPr="00F238A6" w14:paraId="67E175F4" w14:textId="77777777" w:rsidTr="00D9456A">
        <w:trPr>
          <w:trHeight w:val="50"/>
        </w:trPr>
        <w:tc>
          <w:tcPr>
            <w:tcW w:w="954" w:type="pct"/>
            <w:vMerge/>
            <w:tcBorders>
              <w:top w:val="nil"/>
              <w:left w:val="single" w:sz="4" w:space="0" w:color="231F20"/>
              <w:bottom w:val="single" w:sz="4" w:space="0" w:color="231F20"/>
              <w:right w:val="single" w:sz="4" w:space="0" w:color="231F20"/>
            </w:tcBorders>
            <w:vAlign w:val="center"/>
            <w:hideMark/>
          </w:tcPr>
          <w:p w14:paraId="018C3D15" w14:textId="77777777" w:rsidR="00D9456A" w:rsidRPr="00F238A6" w:rsidRDefault="00D9456A" w:rsidP="00D9456A">
            <w:pPr>
              <w:spacing w:after="0" w:line="240" w:lineRule="auto"/>
              <w:rPr>
                <w:rFonts w:eastAsia="Times New Roman" w:cstheme="minorHAnsi"/>
                <w:sz w:val="20"/>
                <w:szCs w:val="20"/>
                <w:lang w:val="es-CO" w:eastAsia="es-CO"/>
              </w:rPr>
            </w:pPr>
          </w:p>
        </w:tc>
        <w:tc>
          <w:tcPr>
            <w:tcW w:w="1455" w:type="pct"/>
            <w:tcBorders>
              <w:top w:val="nil"/>
              <w:left w:val="nil"/>
              <w:bottom w:val="single" w:sz="4" w:space="0" w:color="231F20"/>
              <w:right w:val="single" w:sz="4" w:space="0" w:color="231F20"/>
            </w:tcBorders>
            <w:shd w:val="clear" w:color="auto" w:fill="auto"/>
            <w:hideMark/>
          </w:tcPr>
          <w:p w14:paraId="7C0FF4C4"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Diésel</w:t>
            </w:r>
          </w:p>
        </w:tc>
        <w:tc>
          <w:tcPr>
            <w:tcW w:w="699" w:type="pct"/>
            <w:tcBorders>
              <w:top w:val="nil"/>
              <w:left w:val="nil"/>
              <w:bottom w:val="single" w:sz="4" w:space="0" w:color="231F20"/>
              <w:right w:val="single" w:sz="4" w:space="0" w:color="231F20"/>
            </w:tcBorders>
            <w:shd w:val="clear" w:color="auto" w:fill="auto"/>
            <w:noWrap/>
            <w:hideMark/>
          </w:tcPr>
          <w:p w14:paraId="0B2DEE81"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2.960</w:t>
            </w:r>
          </w:p>
        </w:tc>
        <w:tc>
          <w:tcPr>
            <w:tcW w:w="699" w:type="pct"/>
            <w:tcBorders>
              <w:top w:val="nil"/>
              <w:left w:val="nil"/>
              <w:bottom w:val="single" w:sz="4" w:space="0" w:color="231F20"/>
              <w:right w:val="single" w:sz="4" w:space="0" w:color="231F20"/>
            </w:tcBorders>
            <w:shd w:val="clear" w:color="auto" w:fill="auto"/>
            <w:noWrap/>
            <w:hideMark/>
          </w:tcPr>
          <w:p w14:paraId="7C238E1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3.569</w:t>
            </w:r>
          </w:p>
        </w:tc>
        <w:tc>
          <w:tcPr>
            <w:tcW w:w="597" w:type="pct"/>
            <w:tcBorders>
              <w:top w:val="nil"/>
              <w:left w:val="nil"/>
              <w:bottom w:val="single" w:sz="4" w:space="0" w:color="231F20"/>
              <w:right w:val="nil"/>
            </w:tcBorders>
            <w:shd w:val="clear" w:color="auto" w:fill="auto"/>
            <w:noWrap/>
            <w:hideMark/>
          </w:tcPr>
          <w:p w14:paraId="7B0E461E"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2.667</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6DA4D738"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2.408</w:t>
            </w:r>
          </w:p>
        </w:tc>
      </w:tr>
      <w:tr w:rsidR="00D9456A" w:rsidRPr="00F238A6" w14:paraId="1E7C9A30" w14:textId="77777777" w:rsidTr="00D9456A">
        <w:trPr>
          <w:trHeight w:val="50"/>
        </w:trPr>
        <w:tc>
          <w:tcPr>
            <w:tcW w:w="954" w:type="pct"/>
            <w:vMerge w:val="restart"/>
            <w:tcBorders>
              <w:top w:val="nil"/>
              <w:left w:val="single" w:sz="4" w:space="0" w:color="231F20"/>
              <w:bottom w:val="single" w:sz="4" w:space="0" w:color="231F20"/>
              <w:right w:val="single" w:sz="4" w:space="0" w:color="231F20"/>
            </w:tcBorders>
            <w:shd w:val="clear" w:color="auto" w:fill="auto"/>
            <w:vAlign w:val="center"/>
            <w:hideMark/>
          </w:tcPr>
          <w:p w14:paraId="4F770029"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Camiones</w:t>
            </w:r>
          </w:p>
        </w:tc>
        <w:tc>
          <w:tcPr>
            <w:tcW w:w="1455" w:type="pct"/>
            <w:tcBorders>
              <w:top w:val="nil"/>
              <w:left w:val="nil"/>
              <w:bottom w:val="single" w:sz="4" w:space="0" w:color="231F20"/>
              <w:right w:val="single" w:sz="4" w:space="0" w:color="231F20"/>
            </w:tcBorders>
            <w:shd w:val="clear" w:color="auto" w:fill="auto"/>
            <w:hideMark/>
          </w:tcPr>
          <w:p w14:paraId="234DFBAA"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Livianos</w:t>
            </w:r>
          </w:p>
        </w:tc>
        <w:tc>
          <w:tcPr>
            <w:tcW w:w="699" w:type="pct"/>
            <w:tcBorders>
              <w:top w:val="nil"/>
              <w:left w:val="nil"/>
              <w:bottom w:val="single" w:sz="4" w:space="0" w:color="231F20"/>
              <w:right w:val="single" w:sz="4" w:space="0" w:color="231F20"/>
            </w:tcBorders>
            <w:shd w:val="clear" w:color="auto" w:fill="auto"/>
            <w:noWrap/>
            <w:hideMark/>
          </w:tcPr>
          <w:p w14:paraId="01BC6946"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3.201</w:t>
            </w:r>
          </w:p>
        </w:tc>
        <w:tc>
          <w:tcPr>
            <w:tcW w:w="699" w:type="pct"/>
            <w:tcBorders>
              <w:top w:val="nil"/>
              <w:left w:val="nil"/>
              <w:bottom w:val="single" w:sz="4" w:space="0" w:color="231F20"/>
              <w:right w:val="single" w:sz="4" w:space="0" w:color="231F20"/>
            </w:tcBorders>
            <w:shd w:val="clear" w:color="auto" w:fill="auto"/>
            <w:noWrap/>
            <w:hideMark/>
          </w:tcPr>
          <w:p w14:paraId="341F64F8"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3.463</w:t>
            </w:r>
          </w:p>
        </w:tc>
        <w:tc>
          <w:tcPr>
            <w:tcW w:w="597" w:type="pct"/>
            <w:tcBorders>
              <w:top w:val="nil"/>
              <w:left w:val="nil"/>
              <w:bottom w:val="single" w:sz="4" w:space="0" w:color="231F20"/>
              <w:right w:val="nil"/>
            </w:tcBorders>
            <w:shd w:val="clear" w:color="auto" w:fill="auto"/>
            <w:noWrap/>
            <w:hideMark/>
          </w:tcPr>
          <w:p w14:paraId="33713CF6"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2.829</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1A3C830F"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2.765</w:t>
            </w:r>
          </w:p>
        </w:tc>
      </w:tr>
      <w:tr w:rsidR="00D9456A" w:rsidRPr="00F238A6" w14:paraId="54813529" w14:textId="77777777" w:rsidTr="00D9456A">
        <w:trPr>
          <w:trHeight w:val="50"/>
        </w:trPr>
        <w:tc>
          <w:tcPr>
            <w:tcW w:w="954" w:type="pct"/>
            <w:vMerge/>
            <w:tcBorders>
              <w:top w:val="nil"/>
              <w:left w:val="single" w:sz="4" w:space="0" w:color="231F20"/>
              <w:bottom w:val="single" w:sz="4" w:space="0" w:color="231F20"/>
              <w:right w:val="single" w:sz="4" w:space="0" w:color="231F20"/>
            </w:tcBorders>
            <w:vAlign w:val="center"/>
            <w:hideMark/>
          </w:tcPr>
          <w:p w14:paraId="2D33DEB5" w14:textId="77777777" w:rsidR="00D9456A" w:rsidRPr="00F238A6" w:rsidRDefault="00D9456A" w:rsidP="00D9456A">
            <w:pPr>
              <w:spacing w:after="0" w:line="240" w:lineRule="auto"/>
              <w:rPr>
                <w:rFonts w:eastAsia="Times New Roman" w:cstheme="minorHAnsi"/>
                <w:sz w:val="20"/>
                <w:szCs w:val="20"/>
                <w:lang w:val="es-CO" w:eastAsia="es-CO"/>
              </w:rPr>
            </w:pPr>
          </w:p>
        </w:tc>
        <w:tc>
          <w:tcPr>
            <w:tcW w:w="1455" w:type="pct"/>
            <w:tcBorders>
              <w:top w:val="nil"/>
              <w:left w:val="nil"/>
              <w:bottom w:val="single" w:sz="4" w:space="0" w:color="231F20"/>
              <w:right w:val="single" w:sz="4" w:space="0" w:color="231F20"/>
            </w:tcBorders>
            <w:shd w:val="clear" w:color="auto" w:fill="auto"/>
            <w:hideMark/>
          </w:tcPr>
          <w:p w14:paraId="39F3933B"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Medianos</w:t>
            </w:r>
          </w:p>
        </w:tc>
        <w:tc>
          <w:tcPr>
            <w:tcW w:w="699" w:type="pct"/>
            <w:tcBorders>
              <w:top w:val="nil"/>
              <w:left w:val="nil"/>
              <w:bottom w:val="single" w:sz="4" w:space="0" w:color="231F20"/>
              <w:right w:val="single" w:sz="4" w:space="0" w:color="231F20"/>
            </w:tcBorders>
            <w:shd w:val="clear" w:color="auto" w:fill="auto"/>
            <w:noWrap/>
            <w:hideMark/>
          </w:tcPr>
          <w:p w14:paraId="5064113B"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4.264</w:t>
            </w:r>
          </w:p>
        </w:tc>
        <w:tc>
          <w:tcPr>
            <w:tcW w:w="699" w:type="pct"/>
            <w:tcBorders>
              <w:top w:val="nil"/>
              <w:left w:val="nil"/>
              <w:bottom w:val="single" w:sz="4" w:space="0" w:color="231F20"/>
              <w:right w:val="single" w:sz="4" w:space="0" w:color="231F20"/>
            </w:tcBorders>
            <w:shd w:val="clear" w:color="auto" w:fill="auto"/>
            <w:noWrap/>
            <w:hideMark/>
          </w:tcPr>
          <w:p w14:paraId="29F5D343"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4.748</w:t>
            </w:r>
          </w:p>
        </w:tc>
        <w:tc>
          <w:tcPr>
            <w:tcW w:w="597" w:type="pct"/>
            <w:tcBorders>
              <w:top w:val="nil"/>
              <w:left w:val="nil"/>
              <w:bottom w:val="single" w:sz="4" w:space="0" w:color="231F20"/>
              <w:right w:val="nil"/>
            </w:tcBorders>
            <w:shd w:val="clear" w:color="auto" w:fill="auto"/>
            <w:noWrap/>
            <w:hideMark/>
          </w:tcPr>
          <w:p w14:paraId="56B6681D"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5.202</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2EC4F1E9"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6.142</w:t>
            </w:r>
          </w:p>
        </w:tc>
      </w:tr>
      <w:tr w:rsidR="00D9456A" w:rsidRPr="00F238A6" w14:paraId="7C2CA303" w14:textId="77777777" w:rsidTr="00D9456A">
        <w:trPr>
          <w:trHeight w:val="50"/>
        </w:trPr>
        <w:tc>
          <w:tcPr>
            <w:tcW w:w="954" w:type="pct"/>
            <w:vMerge/>
            <w:tcBorders>
              <w:top w:val="nil"/>
              <w:left w:val="single" w:sz="4" w:space="0" w:color="231F20"/>
              <w:bottom w:val="single" w:sz="4" w:space="0" w:color="231F20"/>
              <w:right w:val="single" w:sz="4" w:space="0" w:color="231F20"/>
            </w:tcBorders>
            <w:vAlign w:val="center"/>
            <w:hideMark/>
          </w:tcPr>
          <w:p w14:paraId="7BE1449A" w14:textId="77777777" w:rsidR="00D9456A" w:rsidRPr="00F238A6" w:rsidRDefault="00D9456A" w:rsidP="00D9456A">
            <w:pPr>
              <w:spacing w:after="0" w:line="240" w:lineRule="auto"/>
              <w:rPr>
                <w:rFonts w:eastAsia="Times New Roman" w:cstheme="minorHAnsi"/>
                <w:sz w:val="20"/>
                <w:szCs w:val="20"/>
                <w:lang w:val="es-CO" w:eastAsia="es-CO"/>
              </w:rPr>
            </w:pPr>
          </w:p>
        </w:tc>
        <w:tc>
          <w:tcPr>
            <w:tcW w:w="1455" w:type="pct"/>
            <w:tcBorders>
              <w:top w:val="nil"/>
              <w:left w:val="nil"/>
              <w:bottom w:val="single" w:sz="4" w:space="0" w:color="231F20"/>
              <w:right w:val="single" w:sz="4" w:space="0" w:color="231F20"/>
            </w:tcBorders>
            <w:shd w:val="clear" w:color="auto" w:fill="auto"/>
            <w:hideMark/>
          </w:tcPr>
          <w:p w14:paraId="0C11B891"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Pesados</w:t>
            </w:r>
          </w:p>
        </w:tc>
        <w:tc>
          <w:tcPr>
            <w:tcW w:w="699" w:type="pct"/>
            <w:tcBorders>
              <w:top w:val="nil"/>
              <w:left w:val="nil"/>
              <w:bottom w:val="single" w:sz="4" w:space="0" w:color="231F20"/>
              <w:right w:val="single" w:sz="4" w:space="0" w:color="231F20"/>
            </w:tcBorders>
            <w:shd w:val="clear" w:color="auto" w:fill="auto"/>
            <w:noWrap/>
            <w:hideMark/>
          </w:tcPr>
          <w:p w14:paraId="1EE24674"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58.564</w:t>
            </w:r>
          </w:p>
        </w:tc>
        <w:tc>
          <w:tcPr>
            <w:tcW w:w="699" w:type="pct"/>
            <w:tcBorders>
              <w:top w:val="nil"/>
              <w:left w:val="nil"/>
              <w:bottom w:val="single" w:sz="4" w:space="0" w:color="231F20"/>
              <w:right w:val="single" w:sz="4" w:space="0" w:color="231F20"/>
            </w:tcBorders>
            <w:shd w:val="clear" w:color="auto" w:fill="auto"/>
            <w:noWrap/>
            <w:hideMark/>
          </w:tcPr>
          <w:p w14:paraId="69B5975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69.941</w:t>
            </w:r>
          </w:p>
        </w:tc>
        <w:tc>
          <w:tcPr>
            <w:tcW w:w="597" w:type="pct"/>
            <w:tcBorders>
              <w:top w:val="nil"/>
              <w:left w:val="nil"/>
              <w:bottom w:val="single" w:sz="4" w:space="0" w:color="231F20"/>
              <w:right w:val="nil"/>
            </w:tcBorders>
            <w:shd w:val="clear" w:color="auto" w:fill="auto"/>
            <w:noWrap/>
            <w:hideMark/>
          </w:tcPr>
          <w:p w14:paraId="767B140E"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48.008</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6ABD532C"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37.535</w:t>
            </w:r>
          </w:p>
        </w:tc>
      </w:tr>
      <w:tr w:rsidR="00D9456A" w:rsidRPr="00F238A6" w14:paraId="78FAD779" w14:textId="77777777" w:rsidTr="00D9456A">
        <w:trPr>
          <w:trHeight w:val="50"/>
        </w:trPr>
        <w:tc>
          <w:tcPr>
            <w:tcW w:w="954" w:type="pct"/>
            <w:vMerge w:val="restart"/>
            <w:tcBorders>
              <w:top w:val="nil"/>
              <w:left w:val="single" w:sz="4" w:space="0" w:color="231F20"/>
              <w:bottom w:val="single" w:sz="4" w:space="0" w:color="231F20"/>
              <w:right w:val="single" w:sz="4" w:space="0" w:color="231F20"/>
            </w:tcBorders>
            <w:shd w:val="clear" w:color="auto" w:fill="auto"/>
            <w:vAlign w:val="center"/>
            <w:hideMark/>
          </w:tcPr>
          <w:p w14:paraId="577696BC"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Buses</w:t>
            </w:r>
          </w:p>
        </w:tc>
        <w:tc>
          <w:tcPr>
            <w:tcW w:w="1455" w:type="pct"/>
            <w:tcBorders>
              <w:top w:val="nil"/>
              <w:left w:val="nil"/>
              <w:bottom w:val="single" w:sz="4" w:space="0" w:color="231F20"/>
              <w:right w:val="single" w:sz="4" w:space="0" w:color="231F20"/>
            </w:tcBorders>
            <w:shd w:val="clear" w:color="auto" w:fill="auto"/>
            <w:hideMark/>
          </w:tcPr>
          <w:p w14:paraId="7B8192D2"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Urbano</w:t>
            </w:r>
          </w:p>
        </w:tc>
        <w:tc>
          <w:tcPr>
            <w:tcW w:w="699" w:type="pct"/>
            <w:tcBorders>
              <w:top w:val="nil"/>
              <w:left w:val="nil"/>
              <w:bottom w:val="single" w:sz="4" w:space="0" w:color="231F20"/>
              <w:right w:val="single" w:sz="4" w:space="0" w:color="231F20"/>
            </w:tcBorders>
            <w:shd w:val="clear" w:color="auto" w:fill="auto"/>
            <w:noWrap/>
            <w:hideMark/>
          </w:tcPr>
          <w:p w14:paraId="34EA6B0A"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38.275</w:t>
            </w:r>
          </w:p>
        </w:tc>
        <w:tc>
          <w:tcPr>
            <w:tcW w:w="699" w:type="pct"/>
            <w:tcBorders>
              <w:top w:val="nil"/>
              <w:left w:val="nil"/>
              <w:bottom w:val="single" w:sz="4" w:space="0" w:color="231F20"/>
              <w:right w:val="single" w:sz="4" w:space="0" w:color="231F20"/>
            </w:tcBorders>
            <w:shd w:val="clear" w:color="auto" w:fill="auto"/>
            <w:noWrap/>
            <w:hideMark/>
          </w:tcPr>
          <w:p w14:paraId="20193614"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27.589</w:t>
            </w:r>
          </w:p>
        </w:tc>
        <w:tc>
          <w:tcPr>
            <w:tcW w:w="597" w:type="pct"/>
            <w:tcBorders>
              <w:top w:val="nil"/>
              <w:left w:val="nil"/>
              <w:bottom w:val="single" w:sz="4" w:space="0" w:color="231F20"/>
              <w:right w:val="nil"/>
            </w:tcBorders>
            <w:shd w:val="clear" w:color="auto" w:fill="auto"/>
            <w:noWrap/>
            <w:hideMark/>
          </w:tcPr>
          <w:p w14:paraId="023C4FC5"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12.993</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5ECCFC60"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8.506</w:t>
            </w:r>
          </w:p>
        </w:tc>
      </w:tr>
      <w:tr w:rsidR="00D9456A" w:rsidRPr="00F238A6" w14:paraId="30F88E64" w14:textId="77777777" w:rsidTr="00D9456A">
        <w:trPr>
          <w:trHeight w:val="50"/>
        </w:trPr>
        <w:tc>
          <w:tcPr>
            <w:tcW w:w="954" w:type="pct"/>
            <w:vMerge/>
            <w:tcBorders>
              <w:top w:val="nil"/>
              <w:left w:val="single" w:sz="4" w:space="0" w:color="231F20"/>
              <w:bottom w:val="single" w:sz="4" w:space="0" w:color="231F20"/>
              <w:right w:val="single" w:sz="4" w:space="0" w:color="231F20"/>
            </w:tcBorders>
            <w:vAlign w:val="center"/>
            <w:hideMark/>
          </w:tcPr>
          <w:p w14:paraId="4A2943AE" w14:textId="77777777" w:rsidR="00D9456A" w:rsidRPr="00F238A6" w:rsidRDefault="00D9456A" w:rsidP="00D9456A">
            <w:pPr>
              <w:spacing w:after="0" w:line="240" w:lineRule="auto"/>
              <w:rPr>
                <w:rFonts w:eastAsia="Times New Roman" w:cstheme="minorHAnsi"/>
                <w:sz w:val="20"/>
                <w:szCs w:val="20"/>
                <w:lang w:val="es-CO" w:eastAsia="es-CO"/>
              </w:rPr>
            </w:pPr>
          </w:p>
        </w:tc>
        <w:tc>
          <w:tcPr>
            <w:tcW w:w="1455" w:type="pct"/>
            <w:tcBorders>
              <w:top w:val="nil"/>
              <w:left w:val="nil"/>
              <w:bottom w:val="single" w:sz="4" w:space="0" w:color="231F20"/>
              <w:right w:val="single" w:sz="4" w:space="0" w:color="231F20"/>
            </w:tcBorders>
            <w:shd w:val="clear" w:color="auto" w:fill="auto"/>
            <w:hideMark/>
          </w:tcPr>
          <w:p w14:paraId="2C163477"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Interurbano</w:t>
            </w:r>
          </w:p>
        </w:tc>
        <w:tc>
          <w:tcPr>
            <w:tcW w:w="699" w:type="pct"/>
            <w:tcBorders>
              <w:top w:val="nil"/>
              <w:left w:val="nil"/>
              <w:bottom w:val="single" w:sz="4" w:space="0" w:color="231F20"/>
              <w:right w:val="single" w:sz="4" w:space="0" w:color="231F20"/>
            </w:tcBorders>
            <w:shd w:val="clear" w:color="auto" w:fill="auto"/>
            <w:noWrap/>
            <w:hideMark/>
          </w:tcPr>
          <w:p w14:paraId="6AE7934B"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842</w:t>
            </w:r>
          </w:p>
        </w:tc>
        <w:tc>
          <w:tcPr>
            <w:tcW w:w="699" w:type="pct"/>
            <w:tcBorders>
              <w:top w:val="nil"/>
              <w:left w:val="nil"/>
              <w:bottom w:val="single" w:sz="4" w:space="0" w:color="231F20"/>
              <w:right w:val="single" w:sz="4" w:space="0" w:color="231F20"/>
            </w:tcBorders>
            <w:shd w:val="clear" w:color="auto" w:fill="auto"/>
            <w:noWrap/>
            <w:hideMark/>
          </w:tcPr>
          <w:p w14:paraId="510A8AD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656</w:t>
            </w:r>
          </w:p>
        </w:tc>
        <w:tc>
          <w:tcPr>
            <w:tcW w:w="597" w:type="pct"/>
            <w:tcBorders>
              <w:top w:val="nil"/>
              <w:left w:val="nil"/>
              <w:bottom w:val="single" w:sz="4" w:space="0" w:color="231F20"/>
              <w:right w:val="nil"/>
            </w:tcBorders>
            <w:shd w:val="clear" w:color="auto" w:fill="auto"/>
            <w:noWrap/>
            <w:hideMark/>
          </w:tcPr>
          <w:p w14:paraId="1C7C8DC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307</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7156FB6E"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208</w:t>
            </w:r>
          </w:p>
        </w:tc>
      </w:tr>
      <w:tr w:rsidR="00D9456A" w:rsidRPr="00F238A6" w14:paraId="5105DBBC" w14:textId="77777777" w:rsidTr="00D9456A">
        <w:trPr>
          <w:trHeight w:val="50"/>
        </w:trPr>
        <w:tc>
          <w:tcPr>
            <w:tcW w:w="954" w:type="pct"/>
            <w:vMerge/>
            <w:tcBorders>
              <w:top w:val="nil"/>
              <w:left w:val="single" w:sz="4" w:space="0" w:color="231F20"/>
              <w:bottom w:val="single" w:sz="4" w:space="0" w:color="231F20"/>
              <w:right w:val="single" w:sz="4" w:space="0" w:color="231F20"/>
            </w:tcBorders>
            <w:vAlign w:val="center"/>
            <w:hideMark/>
          </w:tcPr>
          <w:p w14:paraId="4A7B6DAA" w14:textId="77777777" w:rsidR="00D9456A" w:rsidRPr="00F238A6" w:rsidRDefault="00D9456A" w:rsidP="00D9456A">
            <w:pPr>
              <w:spacing w:after="0" w:line="240" w:lineRule="auto"/>
              <w:rPr>
                <w:rFonts w:eastAsia="Times New Roman" w:cstheme="minorHAnsi"/>
                <w:sz w:val="20"/>
                <w:szCs w:val="20"/>
                <w:lang w:val="es-CO" w:eastAsia="es-CO"/>
              </w:rPr>
            </w:pPr>
          </w:p>
        </w:tc>
        <w:tc>
          <w:tcPr>
            <w:tcW w:w="1455" w:type="pct"/>
            <w:tcBorders>
              <w:top w:val="nil"/>
              <w:left w:val="nil"/>
              <w:bottom w:val="single" w:sz="4" w:space="0" w:color="231F20"/>
              <w:right w:val="single" w:sz="4" w:space="0" w:color="231F20"/>
            </w:tcBorders>
            <w:shd w:val="clear" w:color="auto" w:fill="auto"/>
            <w:hideMark/>
          </w:tcPr>
          <w:p w14:paraId="7C2AFCB4"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Licitado</w:t>
            </w:r>
          </w:p>
        </w:tc>
        <w:tc>
          <w:tcPr>
            <w:tcW w:w="699" w:type="pct"/>
            <w:tcBorders>
              <w:top w:val="nil"/>
              <w:left w:val="nil"/>
              <w:bottom w:val="single" w:sz="4" w:space="0" w:color="231F20"/>
              <w:right w:val="single" w:sz="4" w:space="0" w:color="231F20"/>
            </w:tcBorders>
            <w:shd w:val="clear" w:color="auto" w:fill="auto"/>
            <w:noWrap/>
            <w:hideMark/>
          </w:tcPr>
          <w:p w14:paraId="182D7F74"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7.004</w:t>
            </w:r>
          </w:p>
        </w:tc>
        <w:tc>
          <w:tcPr>
            <w:tcW w:w="699" w:type="pct"/>
            <w:tcBorders>
              <w:top w:val="nil"/>
              <w:left w:val="nil"/>
              <w:bottom w:val="single" w:sz="4" w:space="0" w:color="231F20"/>
              <w:right w:val="single" w:sz="4" w:space="0" w:color="231F20"/>
            </w:tcBorders>
            <w:shd w:val="clear" w:color="auto" w:fill="auto"/>
            <w:noWrap/>
            <w:hideMark/>
          </w:tcPr>
          <w:p w14:paraId="247F349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5.148</w:t>
            </w:r>
          </w:p>
        </w:tc>
        <w:tc>
          <w:tcPr>
            <w:tcW w:w="597" w:type="pct"/>
            <w:tcBorders>
              <w:top w:val="nil"/>
              <w:left w:val="nil"/>
              <w:bottom w:val="single" w:sz="4" w:space="0" w:color="231F20"/>
              <w:right w:val="nil"/>
            </w:tcBorders>
            <w:shd w:val="clear" w:color="auto" w:fill="auto"/>
            <w:noWrap/>
            <w:hideMark/>
          </w:tcPr>
          <w:p w14:paraId="3F109E0E"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7B8C50D4"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2</w:t>
            </w:r>
          </w:p>
        </w:tc>
      </w:tr>
      <w:tr w:rsidR="00FD64F8" w:rsidRPr="00F238A6" w14:paraId="1D942DF8" w14:textId="77777777" w:rsidTr="00D9456A">
        <w:trPr>
          <w:trHeight w:val="255"/>
        </w:trPr>
        <w:tc>
          <w:tcPr>
            <w:tcW w:w="2409" w:type="pct"/>
            <w:gridSpan w:val="2"/>
            <w:tcBorders>
              <w:top w:val="single" w:sz="4" w:space="0" w:color="231F20"/>
              <w:left w:val="single" w:sz="4" w:space="0" w:color="231F20"/>
              <w:bottom w:val="single" w:sz="4" w:space="0" w:color="231F20"/>
              <w:right w:val="single" w:sz="4" w:space="0" w:color="231F20"/>
            </w:tcBorders>
            <w:shd w:val="clear" w:color="auto" w:fill="auto"/>
            <w:hideMark/>
          </w:tcPr>
          <w:p w14:paraId="68CBABE9" w14:textId="77777777" w:rsidR="00D9456A" w:rsidRPr="00F238A6" w:rsidRDefault="00D9456A" w:rsidP="00D9456A">
            <w:pPr>
              <w:spacing w:after="0" w:line="240" w:lineRule="auto"/>
              <w:jc w:val="center"/>
              <w:rPr>
                <w:rFonts w:eastAsia="Times New Roman" w:cstheme="minorHAnsi"/>
                <w:sz w:val="20"/>
                <w:szCs w:val="20"/>
                <w:lang w:val="es-CO" w:eastAsia="es-CO"/>
              </w:rPr>
            </w:pPr>
            <w:r w:rsidRPr="00F238A6">
              <w:rPr>
                <w:rFonts w:eastAsia="Times New Roman" w:cstheme="minorHAnsi"/>
                <w:color w:val="231F20"/>
                <w:sz w:val="20"/>
                <w:szCs w:val="20"/>
                <w:lang w:val="es-CO" w:eastAsia="es-CO"/>
              </w:rPr>
              <w:t>Total</w:t>
            </w:r>
          </w:p>
        </w:tc>
        <w:tc>
          <w:tcPr>
            <w:tcW w:w="699" w:type="pct"/>
            <w:tcBorders>
              <w:top w:val="nil"/>
              <w:left w:val="nil"/>
              <w:bottom w:val="single" w:sz="4" w:space="0" w:color="231F20"/>
              <w:right w:val="single" w:sz="4" w:space="0" w:color="231F20"/>
            </w:tcBorders>
            <w:shd w:val="clear" w:color="auto" w:fill="auto"/>
            <w:noWrap/>
            <w:hideMark/>
          </w:tcPr>
          <w:p w14:paraId="688F0A1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127.965</w:t>
            </w:r>
          </w:p>
        </w:tc>
        <w:tc>
          <w:tcPr>
            <w:tcW w:w="699" w:type="pct"/>
            <w:tcBorders>
              <w:top w:val="nil"/>
              <w:left w:val="nil"/>
              <w:bottom w:val="single" w:sz="4" w:space="0" w:color="231F20"/>
              <w:right w:val="single" w:sz="4" w:space="0" w:color="231F20"/>
            </w:tcBorders>
            <w:shd w:val="clear" w:color="auto" w:fill="auto"/>
            <w:noWrap/>
            <w:hideMark/>
          </w:tcPr>
          <w:p w14:paraId="52823B1D"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121.878</w:t>
            </w:r>
          </w:p>
        </w:tc>
        <w:tc>
          <w:tcPr>
            <w:tcW w:w="597" w:type="pct"/>
            <w:tcBorders>
              <w:top w:val="nil"/>
              <w:left w:val="nil"/>
              <w:bottom w:val="single" w:sz="4" w:space="0" w:color="231F20"/>
              <w:right w:val="nil"/>
            </w:tcBorders>
            <w:shd w:val="clear" w:color="auto" w:fill="auto"/>
            <w:noWrap/>
            <w:hideMark/>
          </w:tcPr>
          <w:p w14:paraId="6922BAEC"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75.709</w:t>
            </w:r>
          </w:p>
        </w:tc>
        <w:tc>
          <w:tcPr>
            <w:tcW w:w="596" w:type="pct"/>
            <w:tcBorders>
              <w:top w:val="nil"/>
              <w:left w:val="single" w:sz="4" w:space="0" w:color="231F20"/>
              <w:bottom w:val="single" w:sz="4" w:space="0" w:color="231F20"/>
              <w:right w:val="single" w:sz="4" w:space="0" w:color="231F20"/>
            </w:tcBorders>
            <w:shd w:val="clear" w:color="auto" w:fill="auto"/>
            <w:noWrap/>
            <w:hideMark/>
          </w:tcPr>
          <w:p w14:paraId="7469E572" w14:textId="77777777" w:rsidR="00D9456A" w:rsidRPr="00F238A6" w:rsidRDefault="00D9456A" w:rsidP="00D9456A">
            <w:pPr>
              <w:spacing w:after="0" w:line="240" w:lineRule="auto"/>
              <w:jc w:val="center"/>
              <w:rPr>
                <w:rFonts w:eastAsia="Times New Roman" w:cstheme="minorHAnsi"/>
                <w:color w:val="231F20"/>
                <w:sz w:val="20"/>
                <w:szCs w:val="20"/>
                <w:lang w:val="es-CO" w:eastAsia="es-CO"/>
              </w:rPr>
            </w:pPr>
            <w:r w:rsidRPr="00F238A6">
              <w:rPr>
                <w:rFonts w:eastAsia="Times New Roman" w:cstheme="minorHAnsi"/>
                <w:color w:val="231F20"/>
                <w:sz w:val="20"/>
                <w:szCs w:val="20"/>
                <w:lang w:val="es-CO" w:eastAsia="es-CO"/>
              </w:rPr>
              <w:t>62.146</w:t>
            </w:r>
          </w:p>
        </w:tc>
      </w:tr>
    </w:tbl>
    <w:p w14:paraId="3994FB83" w14:textId="392AF1DB" w:rsidR="00D9456A" w:rsidRPr="00F238A6" w:rsidRDefault="00D9456A" w:rsidP="004420A4">
      <w:pPr>
        <w:spacing w:before="120" w:after="120" w:line="240" w:lineRule="auto"/>
        <w:jc w:val="center"/>
        <w:rPr>
          <w:rFonts w:cstheme="minorHAnsi"/>
          <w:sz w:val="20"/>
          <w:szCs w:val="20"/>
          <w:lang w:val="es-CO"/>
        </w:rPr>
      </w:pPr>
      <w:r w:rsidRPr="00F238A6">
        <w:rPr>
          <w:rFonts w:cstheme="minorHAnsi"/>
          <w:sz w:val="20"/>
          <w:szCs w:val="20"/>
          <w:lang w:val="es-CO"/>
        </w:rPr>
        <w:t xml:space="preserve">Fuente: </w:t>
      </w:r>
      <w:r w:rsidRPr="00F238A6">
        <w:rPr>
          <w:rFonts w:cstheme="minorHAnsi"/>
          <w:sz w:val="20"/>
          <w:szCs w:val="20"/>
          <w:lang w:val="es-CO"/>
        </w:rPr>
        <w:fldChar w:fldCharType="begin" w:fldLock="1"/>
      </w:r>
      <w:r w:rsidR="00CC194D" w:rsidRPr="00F238A6">
        <w:rPr>
          <w:rFonts w:cstheme="minorHAnsi"/>
          <w:sz w:val="20"/>
          <w:szCs w:val="20"/>
          <w:lang w:val="es-CO"/>
        </w:rPr>
        <w:instrText>ADDIN CSL_CITATION {"citationItems":[{"id":"ITEM-1","itemData":{"DOI":"10.4067/S0718-33052016000500005","ISSN":"07183305","abstract":"Determining emissions from mobile sources is complex considering that the sources travel through the area of interest under different operating regimes and with different technologies. This research analyzes the information available in public institutions in Chile with the aim of creating an inventory of representative, upgradeable and dynamic emissions. Regarding the growth of the fleet, the main indicator is the motorization rate, which by 2012 exceeded 207 vehicles per thousand inhabitants, far from rates in developed countries, between 400 and 600 vehicles per thousand inhabitants, so the growth trend of the automotive fleet in Chile will be maintained. Currently in Chile there isn’t a formal basis for emission factors from motor vehicles, however, the Ministry of Transport and Communications regulates the entry of vehicles through the Vehicle Control and Certification Center (3CV). The center determined through direct measurement emissions of each of the models entering the country confirming that the emission standard established by the regulations is met. As a result of this work, an emissions inventory of Mobile Sources with local information for emissions projecting, as a complement to traditional models as MODEM was obtained. The projected emissions in 2030 shows a reduction of 76% for particulate matter 2.5 microns, a reduction of 53% in nitrogen oxides and an increase of 193% carbon dioxide in relation to 2008.","author":[{"dropping-particle":"","family":"Caro","given":"Sebastián Tolvett","non-dropping-particle":"","parse-names":false,"suffix":""},{"dropping-particle":"","family":"Henríquez","given":"Pilar","non-dropping-particle":"","parse-names":false,"suffix":""},{"dropping-particle":"","family":"Osses","given":"Mauricio","non-dropping-particle":"","parse-names":false,"suffix":""}],"container-title":"Ingeniare","id":"ITEM-1","issued":{"date-parts":[["2016"]]},"page":"32-39","publisher":"Universidad de Tarapaca","title":"Análisis de variables significativas para la generación de un inventario de emisiones de fuentes móviles y su proyección","type":"article-journal","volume":"24"},"uris":["http://www.mendeley.com/documents/?uuid=1790f6d6-32d8-3363-9b96-d4a5a0592876"]}],"mendeley":{"formattedCitation":"(Caro et al., 2016)","plainTextFormattedCitation":"(Caro et al., 2016)","previouslyFormattedCitation":"(Caro et al., 2016)"},"properties":{"noteIndex":0},"schema":"https://github.com/citation-style-language/schema/raw/master/csl-citation.json"}</w:instrText>
      </w:r>
      <w:r w:rsidRPr="00F238A6">
        <w:rPr>
          <w:rFonts w:cstheme="minorHAnsi"/>
          <w:sz w:val="20"/>
          <w:szCs w:val="20"/>
          <w:lang w:val="es-CO"/>
        </w:rPr>
        <w:fldChar w:fldCharType="separate"/>
      </w:r>
      <w:r w:rsidRPr="00F238A6">
        <w:rPr>
          <w:rFonts w:cstheme="minorHAnsi"/>
          <w:noProof/>
          <w:sz w:val="20"/>
          <w:szCs w:val="20"/>
          <w:lang w:val="es-CO"/>
        </w:rPr>
        <w:t>(Caro et al., 2016)</w:t>
      </w:r>
      <w:r w:rsidRPr="00F238A6">
        <w:rPr>
          <w:rFonts w:cstheme="minorHAnsi"/>
          <w:sz w:val="20"/>
          <w:szCs w:val="20"/>
          <w:lang w:val="es-CO"/>
        </w:rPr>
        <w:fldChar w:fldCharType="end"/>
      </w:r>
      <w:r w:rsidR="00891E18">
        <w:rPr>
          <w:rFonts w:cstheme="minorHAnsi"/>
          <w:sz w:val="20"/>
          <w:szCs w:val="20"/>
          <w:lang w:val="es-CO"/>
        </w:rPr>
        <w:t>.</w:t>
      </w:r>
    </w:p>
    <w:p w14:paraId="6DF15D94" w14:textId="2DAF1E88" w:rsidR="000612E5" w:rsidRPr="004420A4" w:rsidRDefault="000612E5" w:rsidP="004420A4">
      <w:pPr>
        <w:pStyle w:val="Ttulo1"/>
        <w:numPr>
          <w:ilvl w:val="0"/>
          <w:numId w:val="1"/>
        </w:numPr>
        <w:spacing w:before="120" w:after="120"/>
        <w:ind w:left="714" w:hanging="357"/>
        <w:rPr>
          <w:rFonts w:asciiTheme="minorHAnsi" w:hAnsiTheme="minorHAnsi" w:cstheme="minorHAnsi"/>
          <w:sz w:val="20"/>
          <w:szCs w:val="20"/>
          <w:lang w:val="es-CO"/>
        </w:rPr>
      </w:pPr>
      <w:r w:rsidRPr="00F238A6">
        <w:rPr>
          <w:rFonts w:asciiTheme="minorHAnsi" w:hAnsiTheme="minorHAnsi" w:cstheme="minorHAnsi"/>
          <w:b/>
          <w:bCs/>
          <w:sz w:val="24"/>
          <w:szCs w:val="24"/>
          <w:lang w:val="es-CO"/>
        </w:rPr>
        <w:t xml:space="preserve">IMPLICACIONES </w:t>
      </w:r>
      <w:r w:rsidR="00D80C3F" w:rsidRPr="00F238A6">
        <w:rPr>
          <w:rFonts w:asciiTheme="minorHAnsi" w:hAnsiTheme="minorHAnsi" w:cstheme="minorHAnsi"/>
          <w:b/>
          <w:bCs/>
          <w:sz w:val="24"/>
          <w:szCs w:val="24"/>
          <w:lang w:val="es-CO"/>
        </w:rPr>
        <w:t xml:space="preserve">EN POLÍTICAS </w:t>
      </w:r>
      <w:r w:rsidR="00D80C3F" w:rsidRPr="004420A4">
        <w:rPr>
          <w:rFonts w:asciiTheme="minorHAnsi" w:hAnsiTheme="minorHAnsi" w:cstheme="minorHAnsi"/>
          <w:b/>
          <w:bCs/>
          <w:sz w:val="24"/>
          <w:szCs w:val="24"/>
          <w:lang w:val="es-CO"/>
        </w:rPr>
        <w:t>PÚBLICAS Y PARA LA PRÁCTICA</w:t>
      </w:r>
      <w:r w:rsidRPr="004420A4">
        <w:rPr>
          <w:rFonts w:asciiTheme="minorHAnsi" w:hAnsiTheme="minorHAnsi" w:cstheme="minorHAnsi"/>
          <w:b/>
          <w:bCs/>
          <w:i/>
          <w:iCs/>
          <w:sz w:val="24"/>
          <w:szCs w:val="24"/>
          <w:lang w:val="es-CO"/>
        </w:rPr>
        <w:t xml:space="preserve"> </w:t>
      </w:r>
      <w:r w:rsidR="00D80C3F" w:rsidRPr="004420A4">
        <w:rPr>
          <w:rFonts w:asciiTheme="minorHAnsi" w:hAnsiTheme="minorHAnsi" w:cstheme="minorHAnsi"/>
          <w:i/>
          <w:iCs/>
          <w:sz w:val="24"/>
          <w:szCs w:val="24"/>
          <w:lang w:val="es-CO"/>
        </w:rPr>
        <w:t>(</w:t>
      </w:r>
      <w:r w:rsidR="00D80C3F" w:rsidRPr="004420A4">
        <w:rPr>
          <w:rFonts w:asciiTheme="minorHAnsi" w:hAnsiTheme="minorHAnsi" w:cstheme="minorHAnsi"/>
          <w:i/>
          <w:iCs/>
          <w:sz w:val="20"/>
          <w:szCs w:val="20"/>
          <w:lang w:val="es-CO"/>
        </w:rPr>
        <w:t>Subtítulo en fuente Calibri, tamaño 12, negrilla)</w:t>
      </w:r>
      <w:r w:rsidR="00D80C3F" w:rsidRPr="004420A4" w:rsidDel="00D80C3F">
        <w:rPr>
          <w:rFonts w:asciiTheme="minorHAnsi" w:hAnsiTheme="minorHAnsi" w:cstheme="minorHAnsi"/>
          <w:sz w:val="20"/>
          <w:szCs w:val="20"/>
          <w:lang w:val="es-CO"/>
        </w:rPr>
        <w:t xml:space="preserve"> </w:t>
      </w:r>
    </w:p>
    <w:p w14:paraId="7D4A5310" w14:textId="4000B326" w:rsidR="009F47EE" w:rsidRPr="004420A4" w:rsidRDefault="009F47EE" w:rsidP="004420A4">
      <w:pPr>
        <w:spacing w:before="120" w:after="120"/>
        <w:jc w:val="both"/>
        <w:rPr>
          <w:rFonts w:cstheme="minorHAnsi"/>
          <w:lang w:val="es-CO"/>
        </w:rPr>
      </w:pPr>
      <w:r w:rsidRPr="004420A4">
        <w:rPr>
          <w:rFonts w:cstheme="minorHAnsi"/>
          <w:lang w:val="es-CO"/>
        </w:rPr>
        <w:t>En esta sección se</w:t>
      </w:r>
      <w:r w:rsidR="000C5B5B">
        <w:rPr>
          <w:rFonts w:cstheme="minorHAnsi"/>
          <w:lang w:val="es-CO"/>
        </w:rPr>
        <w:t xml:space="preserve"> deberán discutir</w:t>
      </w:r>
      <w:r w:rsidR="00182324" w:rsidRPr="004420A4">
        <w:rPr>
          <w:rFonts w:cstheme="minorHAnsi"/>
          <w:lang w:val="es-CO"/>
        </w:rPr>
        <w:t xml:space="preserve"> cuáles son las implicaciones de los</w:t>
      </w:r>
      <w:r w:rsidR="00182324" w:rsidRPr="00F238A6">
        <w:rPr>
          <w:rFonts w:cstheme="minorHAnsi"/>
          <w:lang w:val="es-CO"/>
        </w:rPr>
        <w:t xml:space="preserve"> resultados del estudio en la toma de decisiones, en políticas públicas o en la práctica. </w:t>
      </w:r>
      <w:r w:rsidR="00222A5E" w:rsidRPr="00F238A6">
        <w:rPr>
          <w:rFonts w:cstheme="minorHAnsi"/>
          <w:lang w:val="es-CO"/>
        </w:rPr>
        <w:t xml:space="preserve">Se presenta por qué es importante el resultado obtenido y para quiénes es relevante. </w:t>
      </w:r>
      <w:r w:rsidR="000C5B5B">
        <w:rPr>
          <w:rFonts w:cstheme="minorHAnsi"/>
          <w:lang w:val="es-CO"/>
        </w:rPr>
        <w:t xml:space="preserve">Se </w:t>
      </w:r>
      <w:r w:rsidRPr="00F238A6">
        <w:rPr>
          <w:rFonts w:cstheme="minorHAnsi"/>
          <w:lang w:val="es-CO"/>
        </w:rPr>
        <w:t>puede</w:t>
      </w:r>
      <w:r w:rsidR="00966E74" w:rsidRPr="00F238A6">
        <w:rPr>
          <w:rFonts w:cstheme="minorHAnsi"/>
          <w:lang w:val="es-CO"/>
        </w:rPr>
        <w:t>n</w:t>
      </w:r>
      <w:r w:rsidRPr="00F238A6">
        <w:rPr>
          <w:rFonts w:cstheme="minorHAnsi"/>
          <w:lang w:val="es-CO"/>
        </w:rPr>
        <w:t xml:space="preserve"> incluir recomendaciones para la audiencia específica a la que está dirigida el estudio y lo que </w:t>
      </w:r>
      <w:r w:rsidR="00966E74" w:rsidRPr="00F238A6">
        <w:rPr>
          <w:rFonts w:cstheme="minorHAnsi"/>
          <w:lang w:val="es-CO"/>
        </w:rPr>
        <w:t xml:space="preserve">pueden </w:t>
      </w:r>
      <w:r w:rsidR="009F7508" w:rsidRPr="00F238A6">
        <w:rPr>
          <w:rFonts w:cstheme="minorHAnsi"/>
          <w:lang w:val="es-CO"/>
        </w:rPr>
        <w:t xml:space="preserve">aplicar </w:t>
      </w:r>
      <w:r w:rsidR="00966E74" w:rsidRPr="00F238A6">
        <w:rPr>
          <w:rFonts w:cstheme="minorHAnsi"/>
          <w:lang w:val="es-CO"/>
        </w:rPr>
        <w:t>según</w:t>
      </w:r>
      <w:r w:rsidRPr="00F238A6">
        <w:rPr>
          <w:rFonts w:cstheme="minorHAnsi"/>
          <w:lang w:val="es-CO"/>
        </w:rPr>
        <w:t xml:space="preserve"> los resultados de la investigación. </w:t>
      </w:r>
      <w:r w:rsidR="00222A5E" w:rsidRPr="00F238A6">
        <w:rPr>
          <w:rFonts w:cstheme="minorHAnsi"/>
          <w:lang w:val="es-CO"/>
        </w:rPr>
        <w:t>R</w:t>
      </w:r>
      <w:r w:rsidR="009F7508" w:rsidRPr="00F238A6">
        <w:rPr>
          <w:rFonts w:cstheme="minorHAnsi"/>
          <w:lang w:val="es-CO"/>
        </w:rPr>
        <w:t xml:space="preserve">ecomendaciones para </w:t>
      </w:r>
      <w:r w:rsidR="00CA51F8" w:rsidRPr="00F238A6">
        <w:rPr>
          <w:rFonts w:cstheme="minorHAnsi"/>
          <w:lang w:val="es-CO"/>
        </w:rPr>
        <w:t>esta sección puede</w:t>
      </w:r>
      <w:r w:rsidR="00222A5E" w:rsidRPr="00F238A6">
        <w:rPr>
          <w:rFonts w:cstheme="minorHAnsi"/>
          <w:lang w:val="es-CO"/>
        </w:rPr>
        <w:t>n</w:t>
      </w:r>
      <w:r w:rsidR="00CA51F8" w:rsidRPr="00F238A6">
        <w:rPr>
          <w:rFonts w:cstheme="minorHAnsi"/>
          <w:lang w:val="es-CO"/>
        </w:rPr>
        <w:t xml:space="preserve"> ser </w:t>
      </w:r>
      <w:r w:rsidR="00CA51F8" w:rsidRPr="004420A4">
        <w:rPr>
          <w:rFonts w:cstheme="minorHAnsi"/>
          <w:lang w:val="es-CO"/>
        </w:rPr>
        <w:t>consultada</w:t>
      </w:r>
      <w:r w:rsidR="00222A5E" w:rsidRPr="004420A4">
        <w:rPr>
          <w:rFonts w:cstheme="minorHAnsi"/>
          <w:lang w:val="es-CO"/>
        </w:rPr>
        <w:t>s</w:t>
      </w:r>
      <w:r w:rsidR="00CA51F8" w:rsidRPr="004420A4">
        <w:rPr>
          <w:rFonts w:cstheme="minorHAnsi"/>
          <w:lang w:val="es-CO"/>
        </w:rPr>
        <w:t xml:space="preserve"> </w:t>
      </w:r>
      <w:hyperlink r:id="rId11" w:history="1">
        <w:r w:rsidR="00CA51F8" w:rsidRPr="004420A4">
          <w:rPr>
            <w:rStyle w:val="Hipervnculo"/>
            <w:rFonts w:cstheme="minorHAnsi"/>
            <w:lang w:val="es-CO"/>
          </w:rPr>
          <w:t xml:space="preserve">en este </w:t>
        </w:r>
        <w:proofErr w:type="gramStart"/>
        <w:r w:rsidR="00CA51F8" w:rsidRPr="004420A4">
          <w:rPr>
            <w:rStyle w:val="Hipervnculo"/>
            <w:rFonts w:cstheme="minorHAnsi"/>
            <w:lang w:val="es-CO"/>
          </w:rPr>
          <w:t>link</w:t>
        </w:r>
        <w:proofErr w:type="gramEnd"/>
        <w:r w:rsidR="00CA51F8" w:rsidRPr="004420A4">
          <w:rPr>
            <w:rStyle w:val="Hipervnculo"/>
            <w:rFonts w:cstheme="minorHAnsi"/>
            <w:lang w:val="es-CO"/>
          </w:rPr>
          <w:t>.</w:t>
        </w:r>
      </w:hyperlink>
    </w:p>
    <w:p w14:paraId="4EAAE070" w14:textId="6E5AA1FE" w:rsidR="29356E70" w:rsidRPr="004420A4" w:rsidRDefault="000612E5" w:rsidP="00D22F1C">
      <w:pPr>
        <w:pStyle w:val="Ttulo1"/>
        <w:numPr>
          <w:ilvl w:val="0"/>
          <w:numId w:val="1"/>
        </w:numPr>
        <w:spacing w:before="120" w:after="120" w:line="240" w:lineRule="auto"/>
        <w:jc w:val="both"/>
        <w:rPr>
          <w:rFonts w:cstheme="minorHAnsi"/>
          <w:b/>
          <w:bCs/>
          <w:sz w:val="24"/>
          <w:szCs w:val="24"/>
          <w:lang w:val="es-CO"/>
        </w:rPr>
      </w:pPr>
      <w:r w:rsidRPr="004420A4">
        <w:rPr>
          <w:rFonts w:asciiTheme="minorHAnsi" w:hAnsiTheme="minorHAnsi" w:cstheme="minorHAnsi"/>
          <w:b/>
          <w:bCs/>
          <w:sz w:val="24"/>
          <w:szCs w:val="24"/>
          <w:lang w:val="es-CO"/>
        </w:rPr>
        <w:t xml:space="preserve">AGRADECIMIENTOS </w:t>
      </w:r>
      <w:r w:rsidR="00D80C3F" w:rsidRPr="004420A4">
        <w:rPr>
          <w:rFonts w:asciiTheme="minorHAnsi" w:hAnsiTheme="minorHAnsi" w:cstheme="minorHAnsi"/>
          <w:sz w:val="24"/>
          <w:szCs w:val="24"/>
          <w:lang w:val="es-CO"/>
        </w:rPr>
        <w:t>(</w:t>
      </w:r>
      <w:r w:rsidR="00D80C3F" w:rsidRPr="004420A4">
        <w:rPr>
          <w:rFonts w:asciiTheme="minorHAnsi" w:hAnsiTheme="minorHAnsi" w:cstheme="minorHAnsi"/>
          <w:i/>
          <w:iCs/>
          <w:sz w:val="20"/>
          <w:szCs w:val="20"/>
          <w:lang w:val="es-CO"/>
        </w:rPr>
        <w:t>Subtítulo en fuente Calibri, tamaño 12, negrilla)</w:t>
      </w:r>
      <w:r w:rsidR="00D80C3F" w:rsidRPr="004420A4" w:rsidDel="00D80C3F">
        <w:rPr>
          <w:rFonts w:asciiTheme="minorHAnsi" w:hAnsiTheme="minorHAnsi" w:cstheme="minorHAnsi"/>
          <w:sz w:val="20"/>
          <w:szCs w:val="20"/>
          <w:lang w:val="es-CO"/>
        </w:rPr>
        <w:t xml:space="preserve"> </w:t>
      </w:r>
    </w:p>
    <w:p w14:paraId="75BD2AA5" w14:textId="2DF2B023" w:rsidR="008C6B12" w:rsidRPr="00F238A6" w:rsidRDefault="008C6B12" w:rsidP="004420A4">
      <w:pPr>
        <w:spacing w:before="120" w:after="120" w:line="240" w:lineRule="auto"/>
        <w:jc w:val="both"/>
        <w:rPr>
          <w:rFonts w:cstheme="minorHAnsi"/>
          <w:lang w:val="es-CO"/>
        </w:rPr>
      </w:pPr>
      <w:r w:rsidRPr="004420A4">
        <w:rPr>
          <w:rFonts w:cstheme="minorHAnsi"/>
          <w:lang w:val="es-CO"/>
        </w:rPr>
        <w:t>Sección de reconocimientos en caso de haber sido concedida financiación para la investigación, reconocimiento a una organización, beca (en caso de ser relevante</w:t>
      </w:r>
      <w:r w:rsidRPr="00F238A6">
        <w:rPr>
          <w:rFonts w:cstheme="minorHAnsi"/>
          <w:lang w:val="es-CO"/>
        </w:rPr>
        <w:t xml:space="preserve">), etc. </w:t>
      </w:r>
    </w:p>
    <w:p w14:paraId="7712989B" w14:textId="1F75646D" w:rsidR="00621967" w:rsidRPr="00F238A6" w:rsidRDefault="00621967" w:rsidP="008C6B12">
      <w:pPr>
        <w:spacing w:after="0" w:line="240" w:lineRule="auto"/>
        <w:jc w:val="both"/>
        <w:rPr>
          <w:rFonts w:cstheme="minorHAnsi"/>
          <w:lang w:val="es-CO"/>
        </w:rPr>
      </w:pPr>
    </w:p>
    <w:p w14:paraId="7C7DA3B3" w14:textId="77777777" w:rsidR="00621967" w:rsidRPr="00F238A6" w:rsidRDefault="00621967" w:rsidP="008C6B12">
      <w:pPr>
        <w:spacing w:after="0" w:line="240" w:lineRule="auto"/>
        <w:jc w:val="both"/>
        <w:rPr>
          <w:rFonts w:cstheme="minorHAnsi"/>
          <w:lang w:val="es-CO"/>
        </w:rPr>
        <w:sectPr w:rsidR="00621967" w:rsidRPr="00F238A6" w:rsidSect="005062ED">
          <w:headerReference w:type="default" r:id="rId12"/>
          <w:footerReference w:type="default" r:id="rId13"/>
          <w:pgSz w:w="12240" w:h="15840"/>
          <w:pgMar w:top="1440" w:right="1440" w:bottom="1440" w:left="1440" w:header="708" w:footer="708" w:gutter="0"/>
          <w:cols w:space="708"/>
          <w:docGrid w:linePitch="360"/>
        </w:sectPr>
      </w:pPr>
    </w:p>
    <w:p w14:paraId="4972C7DB" w14:textId="54F30C43" w:rsidR="00F82AC3" w:rsidRPr="00D22F1C" w:rsidRDefault="00F82AC3" w:rsidP="004420A4">
      <w:pPr>
        <w:pStyle w:val="Ttulo1"/>
        <w:spacing w:before="120" w:after="120"/>
        <w:rPr>
          <w:rFonts w:asciiTheme="minorHAnsi" w:hAnsiTheme="minorHAnsi" w:cstheme="minorHAnsi"/>
          <w:b/>
          <w:bCs/>
          <w:i/>
          <w:iCs/>
          <w:sz w:val="24"/>
          <w:szCs w:val="24"/>
          <w:lang w:val="es-CO"/>
        </w:rPr>
      </w:pPr>
      <w:r w:rsidRPr="00F238A6">
        <w:rPr>
          <w:rFonts w:asciiTheme="minorHAnsi" w:hAnsiTheme="minorHAnsi" w:cstheme="minorHAnsi"/>
          <w:b/>
          <w:bCs/>
          <w:sz w:val="24"/>
          <w:szCs w:val="24"/>
          <w:lang w:val="es-CO"/>
        </w:rPr>
        <w:lastRenderedPageBreak/>
        <w:t xml:space="preserve">REFERENCIAS </w:t>
      </w:r>
      <w:r w:rsidRPr="00D22F1C">
        <w:rPr>
          <w:rFonts w:asciiTheme="minorHAnsi" w:hAnsiTheme="minorHAnsi" w:cstheme="minorHAnsi"/>
          <w:i/>
          <w:iCs/>
          <w:sz w:val="20"/>
          <w:szCs w:val="20"/>
          <w:lang w:val="es-CO"/>
        </w:rPr>
        <w:t>(</w:t>
      </w:r>
      <w:r w:rsidR="00C278B7" w:rsidRPr="00D22F1C">
        <w:rPr>
          <w:rFonts w:asciiTheme="minorHAnsi" w:hAnsiTheme="minorHAnsi" w:cstheme="minorHAnsi"/>
          <w:i/>
          <w:iCs/>
          <w:sz w:val="20"/>
          <w:szCs w:val="20"/>
          <w:lang w:val="es-CO"/>
        </w:rPr>
        <w:t>Subtítulo en fuente C</w:t>
      </w:r>
      <w:r w:rsidR="00ED31B1" w:rsidRPr="00D22F1C">
        <w:rPr>
          <w:rFonts w:asciiTheme="minorHAnsi" w:hAnsiTheme="minorHAnsi" w:cstheme="minorHAnsi"/>
          <w:i/>
          <w:iCs/>
          <w:sz w:val="20"/>
          <w:szCs w:val="20"/>
          <w:lang w:val="es-CO"/>
        </w:rPr>
        <w:t>alibri</w:t>
      </w:r>
      <w:r w:rsidRPr="00D22F1C">
        <w:rPr>
          <w:rFonts w:asciiTheme="minorHAnsi" w:hAnsiTheme="minorHAnsi" w:cstheme="minorHAnsi"/>
          <w:i/>
          <w:iCs/>
          <w:sz w:val="20"/>
          <w:szCs w:val="20"/>
          <w:lang w:val="es-CO"/>
        </w:rPr>
        <w:t xml:space="preserve">, </w:t>
      </w:r>
      <w:r w:rsidR="00C278B7" w:rsidRPr="00D22F1C">
        <w:rPr>
          <w:rFonts w:asciiTheme="minorHAnsi" w:hAnsiTheme="minorHAnsi" w:cstheme="minorHAnsi"/>
          <w:i/>
          <w:iCs/>
          <w:sz w:val="20"/>
          <w:szCs w:val="20"/>
          <w:lang w:val="es-CO"/>
        </w:rPr>
        <w:t xml:space="preserve">tamaño </w:t>
      </w:r>
      <w:r w:rsidRPr="00D22F1C">
        <w:rPr>
          <w:rFonts w:asciiTheme="minorHAnsi" w:hAnsiTheme="minorHAnsi" w:cstheme="minorHAnsi"/>
          <w:i/>
          <w:iCs/>
          <w:sz w:val="20"/>
          <w:szCs w:val="20"/>
          <w:lang w:val="es-CO"/>
        </w:rPr>
        <w:t>12, negrilla)</w:t>
      </w:r>
    </w:p>
    <w:p w14:paraId="6852A232" w14:textId="5229E2AA" w:rsidR="008C6B12" w:rsidRPr="00BA24B9" w:rsidRDefault="008C6B12" w:rsidP="00923893">
      <w:pPr>
        <w:spacing w:beforeLines="120" w:before="288" w:afterLines="120" w:after="288" w:line="240" w:lineRule="auto"/>
        <w:jc w:val="both"/>
        <w:rPr>
          <w:rFonts w:cstheme="minorHAnsi"/>
        </w:rPr>
      </w:pPr>
      <w:r w:rsidRPr="004420A4">
        <w:rPr>
          <w:rFonts w:cstheme="minorHAnsi"/>
          <w:lang w:val="es-CO"/>
        </w:rPr>
        <w:t xml:space="preserve">Las referencias se </w:t>
      </w:r>
      <w:r w:rsidR="00222A5E" w:rsidRPr="004420A4">
        <w:rPr>
          <w:rFonts w:cstheme="minorHAnsi"/>
          <w:lang w:val="es-CO"/>
        </w:rPr>
        <w:t>presentan en</w:t>
      </w:r>
      <w:r w:rsidR="00076E77" w:rsidRPr="004420A4">
        <w:rPr>
          <w:rFonts w:cstheme="minorHAnsi"/>
          <w:lang w:val="es-CO"/>
        </w:rPr>
        <w:t xml:space="preserve"> orden alfabético</w:t>
      </w:r>
      <w:r w:rsidR="00CB2758" w:rsidRPr="004420A4">
        <w:rPr>
          <w:rFonts w:cstheme="minorHAnsi"/>
          <w:lang w:val="es-CO"/>
        </w:rPr>
        <w:t xml:space="preserve"> </w:t>
      </w:r>
      <w:r w:rsidRPr="004420A4">
        <w:rPr>
          <w:rFonts w:cstheme="minorHAnsi"/>
          <w:lang w:val="es-CO"/>
        </w:rPr>
        <w:t xml:space="preserve">en formato APA </w:t>
      </w:r>
      <w:r w:rsidR="00923893">
        <w:rPr>
          <w:rFonts w:cstheme="minorHAnsi"/>
          <w:lang w:val="es-CO"/>
        </w:rPr>
        <w:t>sépti</w:t>
      </w:r>
      <w:r w:rsidR="00CB2758" w:rsidRPr="004420A4">
        <w:rPr>
          <w:rFonts w:cstheme="minorHAnsi"/>
          <w:lang w:val="es-CO"/>
        </w:rPr>
        <w:t>ma</w:t>
      </w:r>
      <w:r w:rsidRPr="004420A4">
        <w:rPr>
          <w:rFonts w:cstheme="minorHAnsi"/>
          <w:lang w:val="es-CO"/>
        </w:rPr>
        <w:t xml:space="preserve"> ed</w:t>
      </w:r>
      <w:r w:rsidR="00CB2758" w:rsidRPr="004420A4">
        <w:rPr>
          <w:rFonts w:cstheme="minorHAnsi"/>
          <w:lang w:val="es-CO"/>
        </w:rPr>
        <w:t>ición,</w:t>
      </w:r>
      <w:r w:rsidRPr="004420A4">
        <w:rPr>
          <w:rFonts w:cstheme="minorHAnsi"/>
          <w:lang w:val="es-CO"/>
        </w:rPr>
        <w:t xml:space="preserve"> </w:t>
      </w:r>
      <w:r w:rsidR="00847EEE" w:rsidRPr="004420A4">
        <w:rPr>
          <w:rFonts w:cstheme="minorHAnsi"/>
          <w:lang w:val="es-CO"/>
        </w:rPr>
        <w:t>en su idioma original</w:t>
      </w:r>
      <w:r w:rsidR="00F03803">
        <w:rPr>
          <w:rFonts w:cstheme="minorHAnsi"/>
          <w:lang w:val="es-CO"/>
        </w:rPr>
        <w:t xml:space="preserve"> y en</w:t>
      </w:r>
      <w:r w:rsidR="00847EEE" w:rsidRPr="004420A4">
        <w:rPr>
          <w:rFonts w:cstheme="minorHAnsi"/>
          <w:lang w:val="es-CO"/>
        </w:rPr>
        <w:t xml:space="preserve"> </w:t>
      </w:r>
      <w:r w:rsidRPr="004420A4">
        <w:rPr>
          <w:rFonts w:cstheme="minorHAnsi"/>
          <w:lang w:val="es-CO"/>
        </w:rPr>
        <w:t xml:space="preserve">fuente </w:t>
      </w:r>
      <w:r w:rsidR="00ED31B1" w:rsidRPr="004420A4">
        <w:rPr>
          <w:rFonts w:cstheme="minorHAnsi"/>
          <w:lang w:val="es-CO"/>
        </w:rPr>
        <w:t>Calibri</w:t>
      </w:r>
      <w:r w:rsidRPr="004420A4">
        <w:rPr>
          <w:rFonts w:cstheme="minorHAnsi"/>
          <w:lang w:val="es-CO"/>
        </w:rPr>
        <w:t xml:space="preserve"> tamaño 11.</w:t>
      </w:r>
      <w:r w:rsidR="00C56233" w:rsidRPr="004420A4">
        <w:rPr>
          <w:rFonts w:cstheme="minorHAnsi"/>
          <w:lang w:val="es-CO"/>
        </w:rPr>
        <w:t xml:space="preserve"> </w:t>
      </w:r>
      <w:r w:rsidR="00C56233" w:rsidRPr="00BA24B9">
        <w:rPr>
          <w:rFonts w:cstheme="minorHAnsi"/>
        </w:rPr>
        <w:t xml:space="preserve">Por </w:t>
      </w:r>
      <w:proofErr w:type="spellStart"/>
      <w:r w:rsidR="00C56233" w:rsidRPr="00BA24B9">
        <w:rPr>
          <w:rFonts w:cstheme="minorHAnsi"/>
        </w:rPr>
        <w:t>e</w:t>
      </w:r>
      <w:r w:rsidRPr="00BA24B9">
        <w:rPr>
          <w:rFonts w:cstheme="minorHAnsi"/>
        </w:rPr>
        <w:t>jemplo</w:t>
      </w:r>
      <w:proofErr w:type="spellEnd"/>
      <w:r w:rsidRPr="00BA24B9">
        <w:rPr>
          <w:rFonts w:cstheme="minorHAnsi"/>
        </w:rPr>
        <w:t>:</w:t>
      </w:r>
    </w:p>
    <w:p w14:paraId="24D08DE6" w14:textId="50432078" w:rsidR="00923893" w:rsidRPr="00923893" w:rsidRDefault="008C6B12" w:rsidP="00923893">
      <w:pPr>
        <w:widowControl w:val="0"/>
        <w:autoSpaceDE w:val="0"/>
        <w:autoSpaceDN w:val="0"/>
        <w:adjustRightInd w:val="0"/>
        <w:spacing w:beforeLines="120" w:before="288" w:afterLines="120" w:after="288" w:line="240" w:lineRule="auto"/>
        <w:ind w:left="480" w:hanging="480"/>
        <w:rPr>
          <w:rFonts w:ascii="Calibri" w:hAnsi="Calibri" w:cs="Calibri"/>
          <w:noProof/>
          <w:szCs w:val="24"/>
        </w:rPr>
      </w:pPr>
      <w:r w:rsidRPr="00F238A6">
        <w:rPr>
          <w:rFonts w:cstheme="minorHAnsi"/>
          <w:lang w:val="es-CO"/>
        </w:rPr>
        <w:fldChar w:fldCharType="begin" w:fldLock="1"/>
      </w:r>
      <w:r w:rsidRPr="00BA24B9">
        <w:rPr>
          <w:rFonts w:cstheme="minorHAnsi"/>
        </w:rPr>
        <w:instrText xml:space="preserve">ADDIN Mendeley Bibliography CSL_BIBLIOGRAPHY </w:instrText>
      </w:r>
      <w:r w:rsidRPr="00F238A6">
        <w:rPr>
          <w:rFonts w:cstheme="minorHAnsi"/>
          <w:lang w:val="es-CO"/>
        </w:rPr>
        <w:fldChar w:fldCharType="separate"/>
      </w:r>
      <w:r w:rsidR="00923893" w:rsidRPr="00923893">
        <w:rPr>
          <w:rFonts w:ascii="Calibri" w:hAnsi="Calibri" w:cs="Calibri"/>
          <w:noProof/>
          <w:szCs w:val="24"/>
        </w:rPr>
        <w:t xml:space="preserve">Barry A. Franklin, R. B. (2015). Air pollution and Cardiovascular Disease. </w:t>
      </w:r>
      <w:r w:rsidR="00923893" w:rsidRPr="00923893">
        <w:rPr>
          <w:rFonts w:ascii="Calibri" w:hAnsi="Calibri" w:cs="Calibri"/>
          <w:i/>
          <w:iCs/>
          <w:noProof/>
          <w:szCs w:val="24"/>
        </w:rPr>
        <w:t>Current Problems in Cardiology, 207-238.</w:t>
      </w:r>
      <w:r w:rsidR="00923893" w:rsidRPr="00923893">
        <w:rPr>
          <w:rFonts w:ascii="Calibri" w:hAnsi="Calibri" w:cs="Calibri"/>
          <w:noProof/>
          <w:szCs w:val="24"/>
        </w:rPr>
        <w:t xml:space="preserve"> https://doi.org/10.1016/j.cpcardiol.2015.01.003</w:t>
      </w:r>
    </w:p>
    <w:p w14:paraId="6FE06826" w14:textId="77777777" w:rsidR="00923893" w:rsidRPr="00BA24B9" w:rsidRDefault="00923893" w:rsidP="00923893">
      <w:pPr>
        <w:widowControl w:val="0"/>
        <w:autoSpaceDE w:val="0"/>
        <w:autoSpaceDN w:val="0"/>
        <w:adjustRightInd w:val="0"/>
        <w:spacing w:beforeLines="120" w:before="288" w:afterLines="120" w:after="288" w:line="240" w:lineRule="auto"/>
        <w:ind w:left="480" w:hanging="480"/>
        <w:rPr>
          <w:rFonts w:ascii="Calibri" w:hAnsi="Calibri" w:cs="Calibri"/>
          <w:noProof/>
          <w:szCs w:val="24"/>
          <w:lang w:val="es-CO"/>
        </w:rPr>
      </w:pPr>
      <w:r w:rsidRPr="00BA24B9">
        <w:rPr>
          <w:rFonts w:ascii="Calibri" w:hAnsi="Calibri" w:cs="Calibri"/>
          <w:noProof/>
          <w:szCs w:val="24"/>
          <w:lang w:val="es-CO"/>
        </w:rPr>
        <w:t xml:space="preserve">Caro, S. T., Henríquez, P., &amp; Osses, M. (2016). Análisis de variables significativas para la generación de un inventario de emisiones de fuentes móviles y su proyección. </w:t>
      </w:r>
      <w:r w:rsidRPr="00BA24B9">
        <w:rPr>
          <w:rFonts w:ascii="Calibri" w:hAnsi="Calibri" w:cs="Calibri"/>
          <w:i/>
          <w:iCs/>
          <w:noProof/>
          <w:szCs w:val="24"/>
          <w:lang w:val="es-CO"/>
        </w:rPr>
        <w:t>Ingeniare</w:t>
      </w:r>
      <w:r w:rsidRPr="00BA24B9">
        <w:rPr>
          <w:rFonts w:ascii="Calibri" w:hAnsi="Calibri" w:cs="Calibri"/>
          <w:noProof/>
          <w:szCs w:val="24"/>
          <w:lang w:val="es-CO"/>
        </w:rPr>
        <w:t xml:space="preserve">, </w:t>
      </w:r>
      <w:r w:rsidRPr="00BA24B9">
        <w:rPr>
          <w:rFonts w:ascii="Calibri" w:hAnsi="Calibri" w:cs="Calibri"/>
          <w:i/>
          <w:iCs/>
          <w:noProof/>
          <w:szCs w:val="24"/>
          <w:lang w:val="es-CO"/>
        </w:rPr>
        <w:t>24</w:t>
      </w:r>
      <w:r w:rsidRPr="00BA24B9">
        <w:rPr>
          <w:rFonts w:ascii="Calibri" w:hAnsi="Calibri" w:cs="Calibri"/>
          <w:noProof/>
          <w:szCs w:val="24"/>
          <w:lang w:val="es-CO"/>
        </w:rPr>
        <w:t>, 32–39. https://doi.org/10.4067/S0718-33052016000500005</w:t>
      </w:r>
    </w:p>
    <w:p w14:paraId="0F087178" w14:textId="77777777" w:rsidR="00923893" w:rsidRPr="00BA24B9" w:rsidRDefault="00923893" w:rsidP="00923893">
      <w:pPr>
        <w:widowControl w:val="0"/>
        <w:autoSpaceDE w:val="0"/>
        <w:autoSpaceDN w:val="0"/>
        <w:adjustRightInd w:val="0"/>
        <w:spacing w:beforeLines="120" w:before="288" w:afterLines="120" w:after="288" w:line="240" w:lineRule="auto"/>
        <w:ind w:left="480" w:hanging="480"/>
        <w:rPr>
          <w:rFonts w:ascii="Calibri" w:hAnsi="Calibri" w:cs="Calibri"/>
          <w:noProof/>
          <w:szCs w:val="24"/>
          <w:lang w:val="es-CO"/>
        </w:rPr>
      </w:pPr>
      <w:r w:rsidRPr="00BA24B9">
        <w:rPr>
          <w:rFonts w:ascii="Calibri" w:hAnsi="Calibri" w:cs="Calibri"/>
          <w:noProof/>
          <w:szCs w:val="24"/>
          <w:lang w:val="es-CO"/>
        </w:rPr>
        <w:t xml:space="preserve">IDEAM, PNUD, MADS, DNP, CANCILLERÍA, &amp; FMAM. (2016). </w:t>
      </w:r>
      <w:r w:rsidRPr="00BA24B9">
        <w:rPr>
          <w:rFonts w:ascii="Calibri" w:hAnsi="Calibri" w:cs="Calibri"/>
          <w:i/>
          <w:iCs/>
          <w:noProof/>
          <w:szCs w:val="24"/>
          <w:lang w:val="es-CO"/>
        </w:rPr>
        <w:t>Inventario Nacional y Departamental de Gases Efecto Invernadero - Colombia. Tercera Comunicación Nacional de Cambio Climático.</w:t>
      </w:r>
      <w:r w:rsidRPr="00BA24B9">
        <w:rPr>
          <w:rFonts w:ascii="Calibri" w:hAnsi="Calibri" w:cs="Calibri"/>
          <w:noProof/>
          <w:szCs w:val="24"/>
          <w:lang w:val="es-CO"/>
        </w:rPr>
        <w:t xml:space="preserve"> http://documentacion.ideam.gov.co/openbiblio/bvirtual/023634/INGEI.pdf</w:t>
      </w:r>
    </w:p>
    <w:p w14:paraId="51F5BF37" w14:textId="77777777" w:rsidR="00923893" w:rsidRPr="00923893" w:rsidRDefault="00923893" w:rsidP="00923893">
      <w:pPr>
        <w:widowControl w:val="0"/>
        <w:autoSpaceDE w:val="0"/>
        <w:autoSpaceDN w:val="0"/>
        <w:adjustRightInd w:val="0"/>
        <w:spacing w:beforeLines="120" w:before="288" w:afterLines="120" w:after="288" w:line="240" w:lineRule="auto"/>
        <w:ind w:left="480" w:hanging="480"/>
        <w:rPr>
          <w:rFonts w:ascii="Calibri" w:hAnsi="Calibri" w:cs="Calibri"/>
          <w:noProof/>
          <w:szCs w:val="24"/>
        </w:rPr>
      </w:pPr>
      <w:r w:rsidRPr="00BA24B9">
        <w:rPr>
          <w:rFonts w:ascii="Calibri" w:hAnsi="Calibri" w:cs="Calibri"/>
          <w:noProof/>
          <w:szCs w:val="24"/>
          <w:lang w:val="es-CO"/>
        </w:rPr>
        <w:t xml:space="preserve">Morawska, L., Thai, P. K., Liu, X., Asumadu-Sakyi, A., Ayoko, G., Bartonova, A., Bedini, A., Chai, F., Christensen, B., Dunbabin, M., Gao, J., Hagler, G. S. W., Jayaratne, R., Kumar, P., Lau, A. K. H., Louie, P. K. K., Mazaheri, M., Ning, Z., Motta, N., … </w:t>
      </w:r>
      <w:r w:rsidRPr="00923893">
        <w:rPr>
          <w:rFonts w:ascii="Calibri" w:hAnsi="Calibri" w:cs="Calibri"/>
          <w:noProof/>
          <w:szCs w:val="24"/>
        </w:rPr>
        <w:t xml:space="preserve">Williams, R. (2018). Applications of low-cost sensing technologies for air quality monitoring and exposure assessment: How far have they gone? </w:t>
      </w:r>
      <w:r w:rsidRPr="00923893">
        <w:rPr>
          <w:rFonts w:ascii="Calibri" w:hAnsi="Calibri" w:cs="Calibri"/>
          <w:i/>
          <w:iCs/>
          <w:noProof/>
          <w:szCs w:val="24"/>
        </w:rPr>
        <w:t>Environment International</w:t>
      </w:r>
      <w:r w:rsidRPr="00923893">
        <w:rPr>
          <w:rFonts w:ascii="Calibri" w:hAnsi="Calibri" w:cs="Calibri"/>
          <w:noProof/>
          <w:szCs w:val="24"/>
        </w:rPr>
        <w:t xml:space="preserve">, </w:t>
      </w:r>
      <w:r w:rsidRPr="00923893">
        <w:rPr>
          <w:rFonts w:ascii="Calibri" w:hAnsi="Calibri" w:cs="Calibri"/>
          <w:i/>
          <w:iCs/>
          <w:noProof/>
          <w:szCs w:val="24"/>
        </w:rPr>
        <w:t>116</w:t>
      </w:r>
      <w:r w:rsidRPr="00923893">
        <w:rPr>
          <w:rFonts w:ascii="Calibri" w:hAnsi="Calibri" w:cs="Calibri"/>
          <w:noProof/>
          <w:szCs w:val="24"/>
        </w:rPr>
        <w:t>(February), 286–299. https://doi.org/10.1016/j.envint.2018.04.018</w:t>
      </w:r>
    </w:p>
    <w:p w14:paraId="5BB58AC7" w14:textId="77777777" w:rsidR="00923893" w:rsidRPr="00923893" w:rsidRDefault="00923893" w:rsidP="00923893">
      <w:pPr>
        <w:widowControl w:val="0"/>
        <w:autoSpaceDE w:val="0"/>
        <w:autoSpaceDN w:val="0"/>
        <w:adjustRightInd w:val="0"/>
        <w:spacing w:beforeLines="120" w:before="288" w:afterLines="120" w:after="288" w:line="240" w:lineRule="auto"/>
        <w:ind w:left="480" w:hanging="480"/>
        <w:rPr>
          <w:rFonts w:ascii="Calibri" w:hAnsi="Calibri" w:cs="Calibri"/>
          <w:noProof/>
        </w:rPr>
      </w:pPr>
      <w:r w:rsidRPr="00923893">
        <w:rPr>
          <w:rFonts w:ascii="Calibri" w:hAnsi="Calibri" w:cs="Calibri"/>
          <w:noProof/>
          <w:szCs w:val="24"/>
        </w:rPr>
        <w:t xml:space="preserve">Senev, A., Van Loon, E., Lerut, E., Callemeyn, J., Coemans, M., Van Sandt, V., Kuypers, D., Emonds, M. P., &amp; Naesens, M. (2021). Risk factors, histopathological features, and graft outcome of transplant glomerulopathy in the absence of donor-specific HLA antibodies. </w:t>
      </w:r>
      <w:r w:rsidRPr="00923893">
        <w:rPr>
          <w:rFonts w:ascii="Calibri" w:hAnsi="Calibri" w:cs="Calibri"/>
          <w:i/>
          <w:iCs/>
          <w:noProof/>
          <w:szCs w:val="24"/>
        </w:rPr>
        <w:t>Kidney International</w:t>
      </w:r>
      <w:r w:rsidRPr="00923893">
        <w:rPr>
          <w:rFonts w:ascii="Calibri" w:hAnsi="Calibri" w:cs="Calibri"/>
          <w:noProof/>
          <w:szCs w:val="24"/>
        </w:rPr>
        <w:t xml:space="preserve">, </w:t>
      </w:r>
      <w:r w:rsidRPr="00923893">
        <w:rPr>
          <w:rFonts w:ascii="Calibri" w:hAnsi="Calibri" w:cs="Calibri"/>
          <w:i/>
          <w:iCs/>
          <w:noProof/>
          <w:szCs w:val="24"/>
        </w:rPr>
        <w:t>100</w:t>
      </w:r>
      <w:r w:rsidRPr="00923893">
        <w:rPr>
          <w:rFonts w:ascii="Calibri" w:hAnsi="Calibri" w:cs="Calibri"/>
          <w:noProof/>
          <w:szCs w:val="24"/>
        </w:rPr>
        <w:t>(2), 401–414. https://doi.org/10.1016/j.kint.2021.01.029</w:t>
      </w:r>
    </w:p>
    <w:p w14:paraId="2727F325" w14:textId="23D5AA4D" w:rsidR="008C6B12" w:rsidRPr="00F238A6" w:rsidRDefault="008C6B12" w:rsidP="00923893">
      <w:pPr>
        <w:spacing w:beforeLines="120" w:before="288" w:afterLines="120" w:after="288" w:line="240" w:lineRule="auto"/>
        <w:jc w:val="both"/>
        <w:rPr>
          <w:rFonts w:cstheme="minorHAnsi"/>
          <w:lang w:val="es-CO"/>
        </w:rPr>
      </w:pPr>
      <w:r w:rsidRPr="00F238A6">
        <w:rPr>
          <w:rFonts w:cstheme="minorHAnsi"/>
          <w:lang w:val="es-CO"/>
        </w:rPr>
        <w:fldChar w:fldCharType="end"/>
      </w:r>
    </w:p>
    <w:p w14:paraId="34CF465B" w14:textId="238F87D2" w:rsidR="00B92DC4" w:rsidRPr="00F238A6" w:rsidRDefault="00B92DC4" w:rsidP="00820353">
      <w:pPr>
        <w:spacing w:after="0"/>
        <w:jc w:val="both"/>
        <w:rPr>
          <w:rFonts w:cstheme="minorHAnsi"/>
          <w:lang w:val="es-CO"/>
        </w:rPr>
      </w:pPr>
    </w:p>
    <w:sectPr w:rsidR="00B92DC4" w:rsidRPr="00F238A6" w:rsidSect="005062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D018" w14:textId="77777777" w:rsidR="00EA0968" w:rsidRDefault="00EA0968" w:rsidP="00B92DC4">
      <w:pPr>
        <w:spacing w:after="0" w:line="240" w:lineRule="auto"/>
      </w:pPr>
      <w:r>
        <w:separator/>
      </w:r>
    </w:p>
  </w:endnote>
  <w:endnote w:type="continuationSeparator" w:id="0">
    <w:p w14:paraId="504FAAC4" w14:textId="77777777" w:rsidR="00EA0968" w:rsidRDefault="00EA0968" w:rsidP="00B9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7970255"/>
      <w:docPartObj>
        <w:docPartGallery w:val="Page Numbers (Bottom of Page)"/>
        <w:docPartUnique/>
      </w:docPartObj>
    </w:sdtPr>
    <w:sdtContent>
      <w:p w14:paraId="693D8941" w14:textId="1942D9FB" w:rsidR="000D192D" w:rsidRPr="000D192D" w:rsidRDefault="000D192D">
        <w:pPr>
          <w:pStyle w:val="Piedepgina"/>
          <w:jc w:val="center"/>
          <w:rPr>
            <w:rFonts w:ascii="Times New Roman" w:hAnsi="Times New Roman" w:cs="Times New Roman"/>
          </w:rPr>
        </w:pPr>
        <w:r w:rsidRPr="000D192D">
          <w:rPr>
            <w:rFonts w:ascii="Times New Roman" w:hAnsi="Times New Roman" w:cs="Times New Roman"/>
          </w:rPr>
          <w:fldChar w:fldCharType="begin"/>
        </w:r>
        <w:r w:rsidRPr="000D192D">
          <w:rPr>
            <w:rFonts w:ascii="Times New Roman" w:hAnsi="Times New Roman" w:cs="Times New Roman"/>
          </w:rPr>
          <w:instrText>PAGE   \* MERGEFORMAT</w:instrText>
        </w:r>
        <w:r w:rsidRPr="000D192D">
          <w:rPr>
            <w:rFonts w:ascii="Times New Roman" w:hAnsi="Times New Roman" w:cs="Times New Roman"/>
          </w:rPr>
          <w:fldChar w:fldCharType="separate"/>
        </w:r>
        <w:r w:rsidRPr="000D192D">
          <w:rPr>
            <w:rFonts w:ascii="Times New Roman" w:hAnsi="Times New Roman" w:cs="Times New Roman"/>
            <w:lang w:val="es-ES"/>
          </w:rPr>
          <w:t>2</w:t>
        </w:r>
        <w:r w:rsidRPr="000D192D">
          <w:rPr>
            <w:rFonts w:ascii="Times New Roman" w:hAnsi="Times New Roman" w:cs="Times New Roman"/>
          </w:rPr>
          <w:fldChar w:fldCharType="end"/>
        </w:r>
      </w:p>
    </w:sdtContent>
  </w:sdt>
  <w:p w14:paraId="027FED2D" w14:textId="77777777" w:rsidR="004E2BBB" w:rsidRDefault="004E2B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F298" w14:textId="77777777" w:rsidR="00EA0968" w:rsidRDefault="00EA0968" w:rsidP="00B92DC4">
      <w:pPr>
        <w:spacing w:after="0" w:line="240" w:lineRule="auto"/>
      </w:pPr>
      <w:r>
        <w:separator/>
      </w:r>
    </w:p>
  </w:footnote>
  <w:footnote w:type="continuationSeparator" w:id="0">
    <w:p w14:paraId="0B55F5A1" w14:textId="77777777" w:rsidR="00EA0968" w:rsidRDefault="00EA0968" w:rsidP="00B9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10EF" w14:textId="3970C8C3" w:rsidR="002C025D" w:rsidRPr="00663A93" w:rsidRDefault="00663A93" w:rsidP="00663A93">
    <w:pPr>
      <w:pStyle w:val="Encabezado"/>
    </w:pPr>
    <w:r>
      <w:rPr>
        <w:noProof/>
      </w:rPr>
      <w:drawing>
        <wp:inline distT="0" distB="0" distL="0" distR="0" wp14:anchorId="36D2A241" wp14:editId="1A24F2AB">
          <wp:extent cx="1450205" cy="85261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478278" cy="869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197"/>
    <w:multiLevelType w:val="hybridMultilevel"/>
    <w:tmpl w:val="4994264A"/>
    <w:lvl w:ilvl="0" w:tplc="3A482618">
      <w:start w:val="1"/>
      <w:numFmt w:val="decimal"/>
      <w:lvlText w:val="%1."/>
      <w:lvlJc w:val="left"/>
      <w:pPr>
        <w:ind w:left="720" w:hanging="360"/>
      </w:pPr>
      <w:rPr>
        <w:rFonts w:asciiTheme="minorHAnsi" w:hAnsiTheme="minorHAnsi" w:cstheme="minorHAnsi" w:hint="default"/>
        <w:b/>
        <w:bCs/>
        <w:color w:val="2F5496" w:themeColor="accent1" w:themeShade="BF"/>
        <w:sz w:val="24"/>
        <w:szCs w:val="24"/>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D32367"/>
    <w:multiLevelType w:val="multilevel"/>
    <w:tmpl w:val="D16A71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E8E2765"/>
    <w:multiLevelType w:val="hybridMultilevel"/>
    <w:tmpl w:val="F4F28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3692143"/>
    <w:multiLevelType w:val="hybridMultilevel"/>
    <w:tmpl w:val="EB76BB28"/>
    <w:lvl w:ilvl="0" w:tplc="7A6ACA94">
      <w:start w:val="1"/>
      <w:numFmt w:val="decimal"/>
      <w:lvlText w:val="%1."/>
      <w:lvlJc w:val="left"/>
      <w:pPr>
        <w:ind w:left="720" w:hanging="360"/>
      </w:pPr>
      <w:rPr>
        <w:rFonts w:ascii="Times New Roman" w:hAnsi="Times New Roman" w:cs="Times New Roman" w:hint="default"/>
        <w:color w:val="2F5496" w:themeColor="accent1" w:themeShade="BF"/>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D9145BC"/>
    <w:multiLevelType w:val="multilevel"/>
    <w:tmpl w:val="0D62D75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7765C76"/>
    <w:multiLevelType w:val="hybridMultilevel"/>
    <w:tmpl w:val="E94CC8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E333798"/>
    <w:multiLevelType w:val="hybridMultilevel"/>
    <w:tmpl w:val="EB76BB28"/>
    <w:lvl w:ilvl="0" w:tplc="7A6ACA94">
      <w:start w:val="1"/>
      <w:numFmt w:val="decimal"/>
      <w:lvlText w:val="%1."/>
      <w:lvlJc w:val="left"/>
      <w:pPr>
        <w:ind w:left="720" w:hanging="360"/>
      </w:pPr>
      <w:rPr>
        <w:rFonts w:ascii="Times New Roman" w:hAnsi="Times New Roman" w:cs="Times New Roman" w:hint="default"/>
        <w:color w:val="2F5496" w:themeColor="accent1" w:themeShade="BF"/>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11059995">
    <w:abstractNumId w:val="0"/>
  </w:num>
  <w:num w:numId="2" w16cid:durableId="1050610385">
    <w:abstractNumId w:val="1"/>
  </w:num>
  <w:num w:numId="3" w16cid:durableId="17315325">
    <w:abstractNumId w:val="4"/>
  </w:num>
  <w:num w:numId="4" w16cid:durableId="1651783425">
    <w:abstractNumId w:val="6"/>
  </w:num>
  <w:num w:numId="5" w16cid:durableId="1097678802">
    <w:abstractNumId w:val="3"/>
  </w:num>
  <w:num w:numId="6" w16cid:durableId="2141410368">
    <w:abstractNumId w:val="2"/>
  </w:num>
  <w:num w:numId="7" w16cid:durableId="102894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87"/>
    <w:rsid w:val="00004E67"/>
    <w:rsid w:val="00010C01"/>
    <w:rsid w:val="00017849"/>
    <w:rsid w:val="00033972"/>
    <w:rsid w:val="000426AA"/>
    <w:rsid w:val="000612E5"/>
    <w:rsid w:val="000617E6"/>
    <w:rsid w:val="000739DD"/>
    <w:rsid w:val="00076E77"/>
    <w:rsid w:val="00077FB1"/>
    <w:rsid w:val="0008552F"/>
    <w:rsid w:val="00097F2A"/>
    <w:rsid w:val="000A71C3"/>
    <w:rsid w:val="000C1A9B"/>
    <w:rsid w:val="000C5B5B"/>
    <w:rsid w:val="000D192D"/>
    <w:rsid w:val="000E2CDA"/>
    <w:rsid w:val="0011674B"/>
    <w:rsid w:val="00126E5D"/>
    <w:rsid w:val="00163F9F"/>
    <w:rsid w:val="00180AC1"/>
    <w:rsid w:val="00182324"/>
    <w:rsid w:val="001A7995"/>
    <w:rsid w:val="001C5E87"/>
    <w:rsid w:val="001D47C4"/>
    <w:rsid w:val="001E5B9E"/>
    <w:rsid w:val="001F59EC"/>
    <w:rsid w:val="001F6EBC"/>
    <w:rsid w:val="0020671E"/>
    <w:rsid w:val="0021125E"/>
    <w:rsid w:val="00222A5E"/>
    <w:rsid w:val="00237E9C"/>
    <w:rsid w:val="00240296"/>
    <w:rsid w:val="00253D01"/>
    <w:rsid w:val="00262AF5"/>
    <w:rsid w:val="002747F9"/>
    <w:rsid w:val="00292BF4"/>
    <w:rsid w:val="00292E08"/>
    <w:rsid w:val="0029768C"/>
    <w:rsid w:val="002C025D"/>
    <w:rsid w:val="002D07D1"/>
    <w:rsid w:val="002E3243"/>
    <w:rsid w:val="002F23B5"/>
    <w:rsid w:val="00303FDD"/>
    <w:rsid w:val="00320477"/>
    <w:rsid w:val="00331357"/>
    <w:rsid w:val="00346C7B"/>
    <w:rsid w:val="00353FC0"/>
    <w:rsid w:val="00362733"/>
    <w:rsid w:val="00371319"/>
    <w:rsid w:val="00373316"/>
    <w:rsid w:val="00374D07"/>
    <w:rsid w:val="003A4275"/>
    <w:rsid w:val="003C5F8F"/>
    <w:rsid w:val="003D1C6B"/>
    <w:rsid w:val="003D50FD"/>
    <w:rsid w:val="004420A4"/>
    <w:rsid w:val="00442A2F"/>
    <w:rsid w:val="004479EC"/>
    <w:rsid w:val="00465790"/>
    <w:rsid w:val="00481DA6"/>
    <w:rsid w:val="004902FB"/>
    <w:rsid w:val="004E2BBB"/>
    <w:rsid w:val="004F30E7"/>
    <w:rsid w:val="005062ED"/>
    <w:rsid w:val="00506651"/>
    <w:rsid w:val="00533262"/>
    <w:rsid w:val="00533787"/>
    <w:rsid w:val="0053600F"/>
    <w:rsid w:val="00560B46"/>
    <w:rsid w:val="0056611A"/>
    <w:rsid w:val="005770E7"/>
    <w:rsid w:val="00580A81"/>
    <w:rsid w:val="00591DA3"/>
    <w:rsid w:val="005A349E"/>
    <w:rsid w:val="005C648B"/>
    <w:rsid w:val="005F491F"/>
    <w:rsid w:val="00606020"/>
    <w:rsid w:val="00613353"/>
    <w:rsid w:val="00621967"/>
    <w:rsid w:val="006350D2"/>
    <w:rsid w:val="00646C66"/>
    <w:rsid w:val="00663A93"/>
    <w:rsid w:val="006A4D86"/>
    <w:rsid w:val="006A4E2F"/>
    <w:rsid w:val="006A5A3C"/>
    <w:rsid w:val="006A6939"/>
    <w:rsid w:val="006E0543"/>
    <w:rsid w:val="006E68CF"/>
    <w:rsid w:val="006F1F2E"/>
    <w:rsid w:val="00704B46"/>
    <w:rsid w:val="00720486"/>
    <w:rsid w:val="00773609"/>
    <w:rsid w:val="00782ADD"/>
    <w:rsid w:val="007840FD"/>
    <w:rsid w:val="00794E17"/>
    <w:rsid w:val="007A4F1E"/>
    <w:rsid w:val="007C73FE"/>
    <w:rsid w:val="007D4B81"/>
    <w:rsid w:val="0080776A"/>
    <w:rsid w:val="00824B41"/>
    <w:rsid w:val="00833FEA"/>
    <w:rsid w:val="008379F3"/>
    <w:rsid w:val="00840572"/>
    <w:rsid w:val="00842313"/>
    <w:rsid w:val="00847EEE"/>
    <w:rsid w:val="00854F76"/>
    <w:rsid w:val="00856E99"/>
    <w:rsid w:val="00871D97"/>
    <w:rsid w:val="00872A26"/>
    <w:rsid w:val="00876D12"/>
    <w:rsid w:val="00891E18"/>
    <w:rsid w:val="008A3B24"/>
    <w:rsid w:val="008B28FC"/>
    <w:rsid w:val="008C0986"/>
    <w:rsid w:val="008C6B12"/>
    <w:rsid w:val="008D5C18"/>
    <w:rsid w:val="008E3794"/>
    <w:rsid w:val="008E4795"/>
    <w:rsid w:val="009175C7"/>
    <w:rsid w:val="009220B2"/>
    <w:rsid w:val="00923893"/>
    <w:rsid w:val="0092787B"/>
    <w:rsid w:val="00933D5C"/>
    <w:rsid w:val="00966E74"/>
    <w:rsid w:val="00972F80"/>
    <w:rsid w:val="009870D7"/>
    <w:rsid w:val="009A5F89"/>
    <w:rsid w:val="009B0F39"/>
    <w:rsid w:val="009D5428"/>
    <w:rsid w:val="009E213F"/>
    <w:rsid w:val="009E298C"/>
    <w:rsid w:val="009F47EE"/>
    <w:rsid w:val="009F5AE2"/>
    <w:rsid w:val="009F5E74"/>
    <w:rsid w:val="009F7508"/>
    <w:rsid w:val="00A015C6"/>
    <w:rsid w:val="00A027BB"/>
    <w:rsid w:val="00A1313D"/>
    <w:rsid w:val="00A240AC"/>
    <w:rsid w:val="00A426CD"/>
    <w:rsid w:val="00A43530"/>
    <w:rsid w:val="00A440F9"/>
    <w:rsid w:val="00A56B2F"/>
    <w:rsid w:val="00A57BFB"/>
    <w:rsid w:val="00A64050"/>
    <w:rsid w:val="00A67BBB"/>
    <w:rsid w:val="00A77AC8"/>
    <w:rsid w:val="00A80D7F"/>
    <w:rsid w:val="00A81D2F"/>
    <w:rsid w:val="00A90BC5"/>
    <w:rsid w:val="00A94249"/>
    <w:rsid w:val="00AD22A3"/>
    <w:rsid w:val="00AF04F1"/>
    <w:rsid w:val="00B148BC"/>
    <w:rsid w:val="00B20413"/>
    <w:rsid w:val="00B20B6B"/>
    <w:rsid w:val="00B4054F"/>
    <w:rsid w:val="00B43410"/>
    <w:rsid w:val="00B47EDE"/>
    <w:rsid w:val="00B92DC4"/>
    <w:rsid w:val="00B967FF"/>
    <w:rsid w:val="00BA24B9"/>
    <w:rsid w:val="00BE1F4A"/>
    <w:rsid w:val="00BF6CF3"/>
    <w:rsid w:val="00C0683D"/>
    <w:rsid w:val="00C06867"/>
    <w:rsid w:val="00C070E6"/>
    <w:rsid w:val="00C267D4"/>
    <w:rsid w:val="00C278B7"/>
    <w:rsid w:val="00C41354"/>
    <w:rsid w:val="00C4585A"/>
    <w:rsid w:val="00C5230C"/>
    <w:rsid w:val="00C56233"/>
    <w:rsid w:val="00C647ED"/>
    <w:rsid w:val="00C6783E"/>
    <w:rsid w:val="00C93CAF"/>
    <w:rsid w:val="00CA4E12"/>
    <w:rsid w:val="00CA51F8"/>
    <w:rsid w:val="00CB2758"/>
    <w:rsid w:val="00CB3511"/>
    <w:rsid w:val="00CB7FD4"/>
    <w:rsid w:val="00CC194D"/>
    <w:rsid w:val="00CE18CF"/>
    <w:rsid w:val="00CE2DA1"/>
    <w:rsid w:val="00CF05A1"/>
    <w:rsid w:val="00D0796F"/>
    <w:rsid w:val="00D1101F"/>
    <w:rsid w:val="00D213C5"/>
    <w:rsid w:val="00D22F1C"/>
    <w:rsid w:val="00D33059"/>
    <w:rsid w:val="00D34DFE"/>
    <w:rsid w:val="00D47FC6"/>
    <w:rsid w:val="00D63521"/>
    <w:rsid w:val="00D71DCB"/>
    <w:rsid w:val="00D80C3F"/>
    <w:rsid w:val="00D87BE1"/>
    <w:rsid w:val="00D9456A"/>
    <w:rsid w:val="00DB1BB9"/>
    <w:rsid w:val="00DC51F5"/>
    <w:rsid w:val="00DE2957"/>
    <w:rsid w:val="00DF65C0"/>
    <w:rsid w:val="00DF6A91"/>
    <w:rsid w:val="00E00921"/>
    <w:rsid w:val="00E2499C"/>
    <w:rsid w:val="00E33196"/>
    <w:rsid w:val="00E874F9"/>
    <w:rsid w:val="00EA0968"/>
    <w:rsid w:val="00EA6965"/>
    <w:rsid w:val="00EC2801"/>
    <w:rsid w:val="00ED31B1"/>
    <w:rsid w:val="00EE092D"/>
    <w:rsid w:val="00F03803"/>
    <w:rsid w:val="00F10A7B"/>
    <w:rsid w:val="00F15B4F"/>
    <w:rsid w:val="00F238A6"/>
    <w:rsid w:val="00F26555"/>
    <w:rsid w:val="00F30C5B"/>
    <w:rsid w:val="00F31F46"/>
    <w:rsid w:val="00F32A60"/>
    <w:rsid w:val="00F519D4"/>
    <w:rsid w:val="00F6085A"/>
    <w:rsid w:val="00F7336A"/>
    <w:rsid w:val="00F76FBE"/>
    <w:rsid w:val="00F82AC3"/>
    <w:rsid w:val="00F907F1"/>
    <w:rsid w:val="00F9358E"/>
    <w:rsid w:val="00F93C06"/>
    <w:rsid w:val="00FA0A17"/>
    <w:rsid w:val="00FB0D96"/>
    <w:rsid w:val="00FC7F48"/>
    <w:rsid w:val="00FD64F8"/>
    <w:rsid w:val="00FE651A"/>
    <w:rsid w:val="00FE7E98"/>
    <w:rsid w:val="00FF2575"/>
    <w:rsid w:val="2935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C2B2"/>
  <w15:chartTrackingRefBased/>
  <w15:docId w15:val="{7D25217E-607E-4B13-9A78-D815251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2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E2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733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4275"/>
    <w:rPr>
      <w:color w:val="0563C1" w:themeColor="hyperlink"/>
      <w:u w:val="single"/>
    </w:rPr>
  </w:style>
  <w:style w:type="character" w:styleId="Mencinsinresolver">
    <w:name w:val="Unresolved Mention"/>
    <w:basedOn w:val="Fuentedeprrafopredeter"/>
    <w:uiPriority w:val="99"/>
    <w:semiHidden/>
    <w:unhideWhenUsed/>
    <w:rsid w:val="003A4275"/>
    <w:rPr>
      <w:color w:val="605E5C"/>
      <w:shd w:val="clear" w:color="auto" w:fill="E1DFDD"/>
    </w:rPr>
  </w:style>
  <w:style w:type="character" w:styleId="Hipervnculovisitado">
    <w:name w:val="FollowedHyperlink"/>
    <w:basedOn w:val="Fuentedeprrafopredeter"/>
    <w:uiPriority w:val="99"/>
    <w:semiHidden/>
    <w:unhideWhenUsed/>
    <w:rsid w:val="00B92DC4"/>
    <w:rPr>
      <w:color w:val="954F72" w:themeColor="followedHyperlink"/>
      <w:u w:val="single"/>
    </w:rPr>
  </w:style>
  <w:style w:type="paragraph" w:styleId="Encabezado">
    <w:name w:val="header"/>
    <w:basedOn w:val="Normal"/>
    <w:link w:val="EncabezadoCar"/>
    <w:uiPriority w:val="99"/>
    <w:unhideWhenUsed/>
    <w:rsid w:val="00B92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2DC4"/>
  </w:style>
  <w:style w:type="paragraph" w:styleId="Piedepgina">
    <w:name w:val="footer"/>
    <w:basedOn w:val="Normal"/>
    <w:link w:val="PiedepginaCar"/>
    <w:uiPriority w:val="99"/>
    <w:unhideWhenUsed/>
    <w:rsid w:val="00B92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2DC4"/>
  </w:style>
  <w:style w:type="paragraph" w:styleId="Textonotapie">
    <w:name w:val="footnote text"/>
    <w:basedOn w:val="Normal"/>
    <w:link w:val="TextonotapieCar"/>
    <w:uiPriority w:val="99"/>
    <w:semiHidden/>
    <w:unhideWhenUsed/>
    <w:rsid w:val="00B92D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2DC4"/>
    <w:rPr>
      <w:sz w:val="20"/>
      <w:szCs w:val="20"/>
    </w:rPr>
  </w:style>
  <w:style w:type="character" w:styleId="Refdenotaalpie">
    <w:name w:val="footnote reference"/>
    <w:basedOn w:val="Fuentedeprrafopredeter"/>
    <w:uiPriority w:val="99"/>
    <w:semiHidden/>
    <w:unhideWhenUsed/>
    <w:rsid w:val="00B92DC4"/>
    <w:rPr>
      <w:vertAlign w:val="superscript"/>
    </w:rPr>
  </w:style>
  <w:style w:type="paragraph" w:styleId="Prrafodelista">
    <w:name w:val="List Paragraph"/>
    <w:basedOn w:val="Normal"/>
    <w:uiPriority w:val="34"/>
    <w:qFormat/>
    <w:rsid w:val="00A67BBB"/>
    <w:pPr>
      <w:ind w:left="720"/>
      <w:contextualSpacing/>
    </w:pPr>
  </w:style>
  <w:style w:type="character" w:styleId="Refdecomentario">
    <w:name w:val="annotation reference"/>
    <w:basedOn w:val="Fuentedeprrafopredeter"/>
    <w:uiPriority w:val="99"/>
    <w:semiHidden/>
    <w:unhideWhenUsed/>
    <w:rsid w:val="00F519D4"/>
    <w:rPr>
      <w:sz w:val="16"/>
      <w:szCs w:val="16"/>
    </w:rPr>
  </w:style>
  <w:style w:type="paragraph" w:styleId="Textocomentario">
    <w:name w:val="annotation text"/>
    <w:basedOn w:val="Normal"/>
    <w:link w:val="TextocomentarioCar"/>
    <w:uiPriority w:val="99"/>
    <w:unhideWhenUsed/>
    <w:rsid w:val="00F519D4"/>
    <w:pPr>
      <w:spacing w:line="240" w:lineRule="auto"/>
    </w:pPr>
    <w:rPr>
      <w:sz w:val="20"/>
      <w:szCs w:val="20"/>
    </w:rPr>
  </w:style>
  <w:style w:type="character" w:customStyle="1" w:styleId="TextocomentarioCar">
    <w:name w:val="Texto comentario Car"/>
    <w:basedOn w:val="Fuentedeprrafopredeter"/>
    <w:link w:val="Textocomentario"/>
    <w:uiPriority w:val="99"/>
    <w:rsid w:val="00F519D4"/>
    <w:rPr>
      <w:sz w:val="20"/>
      <w:szCs w:val="20"/>
    </w:rPr>
  </w:style>
  <w:style w:type="paragraph" w:styleId="Asuntodelcomentario">
    <w:name w:val="annotation subject"/>
    <w:basedOn w:val="Textocomentario"/>
    <w:next w:val="Textocomentario"/>
    <w:link w:val="AsuntodelcomentarioCar"/>
    <w:uiPriority w:val="99"/>
    <w:semiHidden/>
    <w:unhideWhenUsed/>
    <w:rsid w:val="00F519D4"/>
    <w:rPr>
      <w:b/>
      <w:bCs/>
    </w:rPr>
  </w:style>
  <w:style w:type="character" w:customStyle="1" w:styleId="AsuntodelcomentarioCar">
    <w:name w:val="Asunto del comentario Car"/>
    <w:basedOn w:val="TextocomentarioCar"/>
    <w:link w:val="Asuntodelcomentario"/>
    <w:uiPriority w:val="99"/>
    <w:semiHidden/>
    <w:rsid w:val="00F519D4"/>
    <w:rPr>
      <w:b/>
      <w:bCs/>
      <w:sz w:val="20"/>
      <w:szCs w:val="20"/>
    </w:rPr>
  </w:style>
  <w:style w:type="table" w:styleId="Tablaconcuadrcula">
    <w:name w:val="Table Grid"/>
    <w:basedOn w:val="Tablanormal"/>
    <w:uiPriority w:val="39"/>
    <w:rsid w:val="0092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E2BB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E2BB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373316"/>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840572"/>
    <w:pPr>
      <w:spacing w:after="0" w:line="240" w:lineRule="auto"/>
    </w:pPr>
  </w:style>
  <w:style w:type="character" w:styleId="Textodelmarcadordeposicin">
    <w:name w:val="Placeholder Text"/>
    <w:basedOn w:val="Fuentedeprrafopredeter"/>
    <w:uiPriority w:val="99"/>
    <w:semiHidden/>
    <w:rsid w:val="00274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authors/tools-and-resources/visual-abstra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agepub.com/sites/default/files/upm-binaries/53679_Guidelines_for_Implications_for_Practic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BB56-31AF-40C1-8722-536DFC14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4110</Words>
  <Characters>22606</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Larrahondo Cruz</dc:creator>
  <cp:keywords/>
  <dc:description/>
  <cp:lastModifiedBy>Jose Pacheco</cp:lastModifiedBy>
  <cp:revision>2</cp:revision>
  <dcterms:created xsi:type="dcterms:W3CDTF">2022-10-12T15:52:00Z</dcterms:created>
  <dcterms:modified xsi:type="dcterms:W3CDTF">2022-10-12T15:52:00Z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34621f8b-f4b8-36f8-80db-61b24f1e2556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http://csl.mendeley.com/styles/487256771/apa</vt:lpwstr>
  </property>
  <property fmtid="{D5CDD505-2E9C-101B-9397-08002B2CF9AE}" pid="10" name="Mendeley Recent Style Name 2_1">
    <vt:lpwstr>American Psychological Association 6th edition - Juan Felipe Mendez Espinosa</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